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8E5EE" w14:textId="6BF044F2" w:rsidR="00B70FF7" w:rsidRDefault="00B70FF7" w:rsidP="00B70FF7">
      <w:pPr>
        <w:pStyle w:val="Header"/>
        <w:tabs>
          <w:tab w:val="right" w:pos="9900"/>
          <w:tab w:val="right" w:pos="13323"/>
        </w:tabs>
        <w:rPr>
          <w:sz w:val="24"/>
          <w:szCs w:val="24"/>
          <w:lang w:val="pt-BR"/>
        </w:rPr>
      </w:pPr>
      <w:bookmarkStart w:id="0" w:name="_Hlk494371635"/>
      <w:r>
        <w:rPr>
          <w:sz w:val="24"/>
          <w:szCs w:val="24"/>
          <w:lang w:val="pt-BR"/>
        </w:rPr>
        <w:t>3GPP TSG-RAN WG4 RAN4-8</w:t>
      </w:r>
      <w:r w:rsidR="00F756D2">
        <w:rPr>
          <w:sz w:val="24"/>
          <w:szCs w:val="24"/>
          <w:lang w:val="pt-BR"/>
        </w:rPr>
        <w:t>5</w:t>
      </w:r>
      <w:r>
        <w:rPr>
          <w:sz w:val="24"/>
          <w:szCs w:val="24"/>
          <w:lang w:val="pt-BR"/>
        </w:rPr>
        <w:tab/>
      </w:r>
      <w:r w:rsidR="008D67BB" w:rsidRPr="008D67BB">
        <w:rPr>
          <w:sz w:val="24"/>
          <w:szCs w:val="24"/>
          <w:lang w:val="pt-BR"/>
        </w:rPr>
        <w:t>R4-17</w:t>
      </w:r>
      <w:r w:rsidR="00C46C96" w:rsidRPr="00C46C96">
        <w:rPr>
          <w:sz w:val="24"/>
          <w:szCs w:val="24"/>
          <w:lang w:val="pt-BR"/>
        </w:rPr>
        <w:t>1272</w:t>
      </w:r>
      <w:r w:rsidR="001C06DA">
        <w:rPr>
          <w:sz w:val="24"/>
          <w:szCs w:val="24"/>
          <w:lang w:val="pt-BR"/>
        </w:rPr>
        <w:t>8</w:t>
      </w:r>
    </w:p>
    <w:p w14:paraId="7D3C7696" w14:textId="6CFF4F38" w:rsidR="00664D98" w:rsidRDefault="00F756D2" w:rsidP="00B70FF7">
      <w:pPr>
        <w:pStyle w:val="BodyText"/>
        <w:rPr>
          <w:rFonts w:ascii="Arial" w:hAnsi="Arial"/>
          <w:b/>
          <w:noProof/>
          <w:lang w:val="en-GB"/>
        </w:rPr>
      </w:pPr>
      <w:r>
        <w:rPr>
          <w:rFonts w:ascii="Arial" w:hAnsi="Arial"/>
          <w:b/>
          <w:noProof/>
          <w:lang w:val="en-GB"/>
        </w:rPr>
        <w:t>Reno</w:t>
      </w:r>
      <w:r w:rsidR="00B70FF7" w:rsidRPr="00883873">
        <w:rPr>
          <w:rFonts w:ascii="Arial" w:hAnsi="Arial"/>
          <w:b/>
          <w:noProof/>
          <w:lang w:val="en-GB"/>
        </w:rPr>
        <w:t xml:space="preserve">, </w:t>
      </w:r>
      <w:r>
        <w:rPr>
          <w:rFonts w:ascii="Arial" w:hAnsi="Arial"/>
          <w:b/>
          <w:noProof/>
          <w:lang w:val="en-GB"/>
        </w:rPr>
        <w:t>United States</w:t>
      </w:r>
      <w:r w:rsidR="00B70FF7" w:rsidRPr="00883873">
        <w:rPr>
          <w:rFonts w:ascii="Arial" w:hAnsi="Arial"/>
          <w:b/>
          <w:noProof/>
          <w:lang w:val="en-GB"/>
        </w:rPr>
        <w:t xml:space="preserve">, </w:t>
      </w:r>
      <w:r>
        <w:rPr>
          <w:rFonts w:ascii="Arial" w:hAnsi="Arial"/>
          <w:b/>
          <w:noProof/>
          <w:lang w:val="en-GB"/>
        </w:rPr>
        <w:t xml:space="preserve">27 November </w:t>
      </w:r>
      <w:r w:rsidR="00B70FF7" w:rsidRPr="00883873">
        <w:rPr>
          <w:rFonts w:ascii="Arial" w:hAnsi="Arial"/>
          <w:b/>
          <w:noProof/>
          <w:lang w:val="en-GB"/>
        </w:rPr>
        <w:t>-</w:t>
      </w:r>
      <w:r>
        <w:rPr>
          <w:rFonts w:ascii="Arial" w:hAnsi="Arial"/>
          <w:b/>
          <w:noProof/>
          <w:lang w:val="en-GB"/>
        </w:rPr>
        <w:t xml:space="preserve"> 1</w:t>
      </w:r>
      <w:r w:rsidR="00B70FF7" w:rsidRPr="00883873">
        <w:rPr>
          <w:rFonts w:ascii="Arial" w:hAnsi="Arial"/>
          <w:b/>
          <w:noProof/>
          <w:lang w:val="en-GB"/>
        </w:rPr>
        <w:t xml:space="preserve"> </w:t>
      </w:r>
      <w:r>
        <w:rPr>
          <w:rFonts w:ascii="Arial" w:hAnsi="Arial"/>
          <w:b/>
          <w:noProof/>
          <w:lang w:val="en-GB"/>
        </w:rPr>
        <w:t>December</w:t>
      </w:r>
      <w:r w:rsidR="00B70FF7" w:rsidRPr="00883873">
        <w:rPr>
          <w:rFonts w:ascii="Arial" w:hAnsi="Arial"/>
          <w:b/>
          <w:noProof/>
          <w:lang w:val="en-GB"/>
        </w:rPr>
        <w:t>, 2017</w:t>
      </w:r>
      <w:bookmarkEnd w:id="0"/>
    </w:p>
    <w:p w14:paraId="5C2B74C7" w14:textId="77777777" w:rsidR="00B70FF7" w:rsidRDefault="00B70FF7" w:rsidP="00B70FF7">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51460CC6"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4A0EC7">
        <w:t xml:space="preserve">Discussion on </w:t>
      </w:r>
      <w:r w:rsidR="00552B88">
        <w:t>Spatial Exclusion and RI test.</w:t>
      </w:r>
    </w:p>
    <w:p w14:paraId="7E9B3BA8" w14:textId="78B64460" w:rsidR="00664D98" w:rsidRPr="00F756D2" w:rsidRDefault="00664D98" w:rsidP="00664D98">
      <w:pPr>
        <w:pStyle w:val="BodyText"/>
        <w:spacing w:after="120"/>
        <w:rPr>
          <w:lang w:val="sv-SE"/>
        </w:rPr>
      </w:pPr>
      <w:r w:rsidRPr="00F756D2">
        <w:rPr>
          <w:b/>
          <w:lang w:val="sv-SE"/>
        </w:rPr>
        <w:t>Agenda item:</w:t>
      </w:r>
      <w:r w:rsidRPr="00F756D2">
        <w:rPr>
          <w:b/>
          <w:lang w:val="sv-SE"/>
        </w:rPr>
        <w:tab/>
      </w:r>
      <w:r w:rsidRPr="00F756D2">
        <w:rPr>
          <w:b/>
          <w:lang w:val="sv-SE"/>
        </w:rPr>
        <w:tab/>
      </w:r>
      <w:r w:rsidR="00C46C96" w:rsidRPr="00C46C96">
        <w:t xml:space="preserve"> </w:t>
      </w:r>
      <w:r w:rsidR="00C46C96" w:rsidRPr="00C46C96">
        <w:rPr>
          <w:lang w:val="sv-SE"/>
        </w:rPr>
        <w:t>8.27.3.6</w:t>
      </w:r>
    </w:p>
    <w:p w14:paraId="244C963E" w14:textId="3D08CAD1" w:rsidR="00664D98" w:rsidRPr="005C2B50" w:rsidRDefault="00664D98" w:rsidP="00664D98">
      <w:pPr>
        <w:pStyle w:val="BodyText"/>
        <w:spacing w:after="120"/>
        <w:rPr>
          <w:b/>
        </w:rPr>
      </w:pPr>
      <w:r w:rsidRPr="005C2B50">
        <w:rPr>
          <w:b/>
        </w:rPr>
        <w:t>Document for:</w:t>
      </w:r>
      <w:r w:rsidRPr="005C2B50">
        <w:rPr>
          <w:b/>
        </w:rPr>
        <w:tab/>
      </w:r>
      <w:r w:rsidR="004A0EC7">
        <w:t>Discussion</w:t>
      </w:r>
    </w:p>
    <w:p w14:paraId="292C85E4" w14:textId="77777777" w:rsidR="00664D98" w:rsidRDefault="00664D98" w:rsidP="00664D98">
      <w:pPr>
        <w:pStyle w:val="Heading1"/>
        <w:rPr>
          <w:lang w:val="en-US"/>
        </w:rPr>
      </w:pPr>
      <w:r w:rsidRPr="006A67A0">
        <w:rPr>
          <w:lang w:val="en-US"/>
        </w:rPr>
        <w:t>Introduction</w:t>
      </w:r>
    </w:p>
    <w:p w14:paraId="3AF84FD0" w14:textId="77777777" w:rsidR="006E1FEB" w:rsidRDefault="006E1FEB" w:rsidP="006E1FEB">
      <w:pPr>
        <w:spacing w:line="276" w:lineRule="auto"/>
        <w:jc w:val="both"/>
        <w:rPr>
          <w:color w:val="000000" w:themeColor="text1"/>
          <w:sz w:val="22"/>
        </w:rPr>
      </w:pPr>
      <w:r>
        <w:rPr>
          <w:color w:val="000000" w:themeColor="text1"/>
          <w:sz w:val="22"/>
        </w:rPr>
        <w:t xml:space="preserve">This contribution aims at providing elements to the discussion on spatial exclusion and RI test for EMC test. As stated in [1], measures may need to be taken to avoid the receiver being blocked during </w:t>
      </w:r>
      <w:r w:rsidRPr="00B14609">
        <w:rPr>
          <w:color w:val="000000" w:themeColor="text1"/>
          <w:sz w:val="22"/>
        </w:rPr>
        <w:t>testing RI of an OTA AAS BS</w:t>
      </w:r>
      <w:r>
        <w:rPr>
          <w:color w:val="000000" w:themeColor="text1"/>
          <w:sz w:val="22"/>
        </w:rPr>
        <w:t xml:space="preserve">. In the same line, both limitations of the RI applicability in terms of frequency boundaries and the possibility to specify spatial exclusions for RI testing have also previously been discussed in RAN4 meetings, as presented in [2]. In RAN¤#84-Bis a proposal on Radiated Immunity (RI) for </w:t>
      </w:r>
      <w:r w:rsidRPr="00011151">
        <w:rPr>
          <w:color w:val="000000" w:themeColor="text1"/>
          <w:sz w:val="22"/>
        </w:rPr>
        <w:t>of OTA AAS BS</w:t>
      </w:r>
      <w:r>
        <w:rPr>
          <w:color w:val="000000" w:themeColor="text1"/>
          <w:sz w:val="22"/>
        </w:rPr>
        <w:t xml:space="preserve"> was approved.  According to the approved text in [3], for OTA AAS BS RI testing applies around the DUT, except for the half sphere around the main lobe direction.</w:t>
      </w:r>
    </w:p>
    <w:p w14:paraId="631AB062" w14:textId="77777777" w:rsidR="006E1FEB" w:rsidRDefault="006E1FEB" w:rsidP="006E1FEB">
      <w:pPr>
        <w:spacing w:line="276" w:lineRule="auto"/>
        <w:jc w:val="both"/>
        <w:rPr>
          <w:color w:val="000000" w:themeColor="text1"/>
          <w:sz w:val="22"/>
        </w:rPr>
      </w:pPr>
      <w:r>
        <w:rPr>
          <w:color w:val="000000" w:themeColor="text1"/>
          <w:sz w:val="22"/>
        </w:rPr>
        <w:t xml:space="preserve">This contribution aims at providing more elements to the discussion on spatial exclusion and RI test for EMC test, including considerations on how to define the front side of DUT, the frequency ranges and the interferer levels that may apply for RI testing. To support our argumentation, we present measurement data where a typical AAS BS aperture prototype has been used as EUT and </w:t>
      </w:r>
      <w:r w:rsidRPr="00851B90">
        <w:rPr>
          <w:color w:val="000000" w:themeColor="text1"/>
          <w:sz w:val="22"/>
        </w:rPr>
        <w:t>a 500 MHz and a 2140 MHz interferer of 10 V/m has been applied using a traditional RI test setup</w:t>
      </w:r>
      <w:r>
        <w:rPr>
          <w:color w:val="000000" w:themeColor="text1"/>
          <w:sz w:val="22"/>
        </w:rPr>
        <w:t>. For frequencies &lt; 690 MHz the results have been scaled to correspond to an interferer level of 3 V/m according to the regulatory limits in Europe.</w:t>
      </w:r>
      <w:r w:rsidRPr="008F43CF">
        <w:rPr>
          <w:color w:val="000000" w:themeColor="text1"/>
          <w:sz w:val="22"/>
        </w:rPr>
        <w:t xml:space="preserve"> </w:t>
      </w:r>
      <w:r w:rsidRPr="00851B90">
        <w:rPr>
          <w:color w:val="000000" w:themeColor="text1"/>
          <w:sz w:val="22"/>
        </w:rPr>
        <w:t>The interferer frequencies were selected as one within the operating range of the antenna, and one outside.</w:t>
      </w:r>
      <w:r>
        <w:rPr>
          <w:color w:val="000000" w:themeColor="text1"/>
          <w:sz w:val="22"/>
        </w:rPr>
        <w:t xml:space="preserve"> The power level received by one selected antenna element of the EUT was monitored as the EUT was rotated to different angular incidence of the interfering signal. The purpose was to determine the received power level due to the radiated immunity field.</w:t>
      </w:r>
    </w:p>
    <w:p w14:paraId="47A8774F" w14:textId="29867736" w:rsidR="002E57B8" w:rsidRDefault="002E57B8" w:rsidP="002E57B8">
      <w:pPr>
        <w:pStyle w:val="Heading1"/>
      </w:pPr>
      <w:r>
        <w:t>Discussion</w:t>
      </w:r>
    </w:p>
    <w:p w14:paraId="4071608B" w14:textId="77777777" w:rsidR="006E1FEB" w:rsidRPr="0093060F" w:rsidRDefault="006E1FEB" w:rsidP="006E1FEB">
      <w:pPr>
        <w:pStyle w:val="Heading1"/>
        <w:numPr>
          <w:ilvl w:val="0"/>
          <w:numId w:val="0"/>
        </w:numPr>
        <w:jc w:val="both"/>
      </w:pPr>
      <w:bookmarkStart w:id="1" w:name="_Hlk498345363"/>
      <w:r w:rsidRPr="0093060F">
        <w:t>2.1 Observations on Frequency Ranges and Interferer Levels for RI testing</w:t>
      </w:r>
      <w:bookmarkEnd w:id="1"/>
    </w:p>
    <w:p w14:paraId="589188A4" w14:textId="77777777" w:rsidR="006E1FEB" w:rsidRDefault="006E1FEB" w:rsidP="006E1FEB">
      <w:pPr>
        <w:jc w:val="both"/>
        <w:rPr>
          <w:color w:val="000000" w:themeColor="text1"/>
          <w:sz w:val="22"/>
        </w:rPr>
      </w:pPr>
      <w:r>
        <w:rPr>
          <w:color w:val="000000" w:themeColor="text1"/>
          <w:sz w:val="22"/>
        </w:rPr>
        <w:t xml:space="preserve">The test setup considered in this contribution is presented in Figure 1 and it is based in IEC 61000-4-3 [4]. RI measurements have been performed using a traditional RI test setup for a typical </w:t>
      </w:r>
      <w:r w:rsidRPr="00851B90">
        <w:rPr>
          <w:color w:val="000000" w:themeColor="text1"/>
          <w:sz w:val="22"/>
        </w:rPr>
        <w:t>AAS BS aperture prototype.</w:t>
      </w:r>
      <w:r>
        <w:rPr>
          <w:color w:val="000000" w:themeColor="text1"/>
          <w:sz w:val="22"/>
        </w:rPr>
        <w:t xml:space="preserve"> The array antenna used in the test is designed to operate in the region 1700-2700 MHz with a gain in the range 8-10 dBi, with a calibrated 10 V/m field intensity in where the EUT was positioned. A spectrum analyser was used as monitoring system.  </w:t>
      </w:r>
    </w:p>
    <w:p w14:paraId="6233D4BE" w14:textId="77777777" w:rsidR="006E1FEB" w:rsidRDefault="006E1FEB" w:rsidP="006E1FEB">
      <w:pPr>
        <w:jc w:val="center"/>
        <w:rPr>
          <w:color w:val="000000" w:themeColor="text1"/>
          <w:sz w:val="22"/>
        </w:rPr>
      </w:pPr>
      <w:r>
        <w:rPr>
          <w:noProof/>
          <w:color w:val="000000" w:themeColor="text1"/>
          <w:sz w:val="22"/>
          <w:lang w:val="sv-SE" w:eastAsia="sv-SE"/>
        </w:rPr>
        <w:drawing>
          <wp:inline distT="0" distB="0" distL="0" distR="0" wp14:anchorId="161DB1D7" wp14:editId="0C3C3DFB">
            <wp:extent cx="3438525" cy="2244986"/>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5500" cy="2282184"/>
                    </a:xfrm>
                    <a:prstGeom prst="rect">
                      <a:avLst/>
                    </a:prstGeom>
                    <a:noFill/>
                    <a:ln>
                      <a:noFill/>
                    </a:ln>
                  </pic:spPr>
                </pic:pic>
              </a:graphicData>
            </a:graphic>
          </wp:inline>
        </w:drawing>
      </w:r>
    </w:p>
    <w:p w14:paraId="79755CB4" w14:textId="77777777" w:rsidR="006E1FEB" w:rsidRDefault="006E1FEB" w:rsidP="006E1FEB">
      <w:pPr>
        <w:overflowPunct w:val="0"/>
        <w:autoSpaceDE w:val="0"/>
        <w:autoSpaceDN w:val="0"/>
        <w:adjustRightInd w:val="0"/>
        <w:spacing w:after="120" w:line="300" w:lineRule="auto"/>
        <w:jc w:val="center"/>
        <w:rPr>
          <w:sz w:val="22"/>
          <w:lang w:val="en-US" w:eastAsia="zh-CN"/>
        </w:rPr>
      </w:pPr>
      <w:r w:rsidRPr="00174C5F">
        <w:rPr>
          <w:sz w:val="22"/>
          <w:lang w:val="en-US" w:eastAsia="zh-CN"/>
        </w:rPr>
        <w:lastRenderedPageBreak/>
        <w:t xml:space="preserve">Figure </w:t>
      </w:r>
      <w:r>
        <w:rPr>
          <w:sz w:val="22"/>
          <w:lang w:val="en-US" w:eastAsia="zh-CN"/>
        </w:rPr>
        <w:t>1</w:t>
      </w:r>
      <w:r w:rsidRPr="00174C5F">
        <w:rPr>
          <w:sz w:val="22"/>
          <w:lang w:val="en-US" w:eastAsia="zh-CN"/>
        </w:rPr>
        <w:t xml:space="preserve">: </w:t>
      </w:r>
      <w:r>
        <w:rPr>
          <w:sz w:val="22"/>
          <w:lang w:val="en-US" w:eastAsia="zh-CN"/>
        </w:rPr>
        <w:t>Schematic view of test setup.</w:t>
      </w:r>
    </w:p>
    <w:p w14:paraId="267263DF" w14:textId="77777777" w:rsidR="006E1FEB" w:rsidRPr="00922A19" w:rsidRDefault="006E1FEB" w:rsidP="006E1FEB">
      <w:pPr>
        <w:jc w:val="both"/>
        <w:rPr>
          <w:color w:val="000000" w:themeColor="text1"/>
          <w:sz w:val="22"/>
          <w:lang w:val="en-US"/>
        </w:rPr>
      </w:pPr>
    </w:p>
    <w:p w14:paraId="0D6E2CDE" w14:textId="77777777" w:rsidR="006E1FEB" w:rsidRDefault="006E1FEB" w:rsidP="006E1FEB">
      <w:pPr>
        <w:jc w:val="both"/>
        <w:rPr>
          <w:color w:val="000000" w:themeColor="text1"/>
          <w:sz w:val="22"/>
        </w:rPr>
      </w:pPr>
      <w:r>
        <w:rPr>
          <w:color w:val="000000" w:themeColor="text1"/>
          <w:sz w:val="22"/>
        </w:rPr>
        <w:t xml:space="preserve">The resulting received power level was monitored for one selected antenna element (and one polarization) as the RI testing was performed for incidence angles 0°-180° (in some cases also 180°-360°) in 5° increments according to </w:t>
      </w:r>
      <w:r w:rsidRPr="00460F39">
        <w:rPr>
          <w:color w:val="000000" w:themeColor="text1"/>
          <w:sz w:val="22"/>
        </w:rPr>
        <w:t>Figure 2</w:t>
      </w:r>
      <w:r>
        <w:rPr>
          <w:color w:val="000000" w:themeColor="text1"/>
          <w:sz w:val="22"/>
        </w:rPr>
        <w:t xml:space="preserve"> below. 90° is the main lobe direction of the EUT. </w:t>
      </w:r>
    </w:p>
    <w:p w14:paraId="56BC05BB" w14:textId="40C0449C" w:rsidR="006E1FEB" w:rsidRDefault="00F24D7B" w:rsidP="006E1FEB">
      <w:pPr>
        <w:jc w:val="center"/>
        <w:rPr>
          <w:color w:val="000000" w:themeColor="text1"/>
          <w:sz w:val="22"/>
        </w:rPr>
      </w:pPr>
      <w:r>
        <w:rPr>
          <w:noProof/>
          <w:color w:val="000000" w:themeColor="text1"/>
          <w:sz w:val="22"/>
        </w:rPr>
        <w:drawing>
          <wp:inline distT="0" distB="0" distL="0" distR="0" wp14:anchorId="2B14FDA6" wp14:editId="34AD7455">
            <wp:extent cx="5162550" cy="3288943"/>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est setup.png"/>
                    <pic:cNvPicPr/>
                  </pic:nvPicPr>
                  <pic:blipFill>
                    <a:blip r:embed="rId9">
                      <a:extLst>
                        <a:ext uri="{28A0092B-C50C-407E-A947-70E740481C1C}">
                          <a14:useLocalDpi xmlns:a14="http://schemas.microsoft.com/office/drawing/2010/main" val="0"/>
                        </a:ext>
                      </a:extLst>
                    </a:blip>
                    <a:stretch>
                      <a:fillRect/>
                    </a:stretch>
                  </pic:blipFill>
                  <pic:spPr>
                    <a:xfrm>
                      <a:off x="0" y="0"/>
                      <a:ext cx="5163867" cy="3289782"/>
                    </a:xfrm>
                    <a:prstGeom prst="rect">
                      <a:avLst/>
                    </a:prstGeom>
                  </pic:spPr>
                </pic:pic>
              </a:graphicData>
            </a:graphic>
          </wp:inline>
        </w:drawing>
      </w:r>
    </w:p>
    <w:p w14:paraId="0634C2E9" w14:textId="77777777" w:rsidR="006E1FEB" w:rsidRDefault="006E1FEB" w:rsidP="006E1FEB">
      <w:pPr>
        <w:overflowPunct w:val="0"/>
        <w:autoSpaceDE w:val="0"/>
        <w:autoSpaceDN w:val="0"/>
        <w:adjustRightInd w:val="0"/>
        <w:spacing w:after="120" w:line="300" w:lineRule="auto"/>
        <w:jc w:val="center"/>
        <w:rPr>
          <w:sz w:val="22"/>
          <w:lang w:val="en-US" w:eastAsia="zh-CN"/>
        </w:rPr>
      </w:pPr>
      <w:r w:rsidRPr="00174C5F">
        <w:rPr>
          <w:sz w:val="22"/>
          <w:lang w:val="en-US" w:eastAsia="zh-CN"/>
        </w:rPr>
        <w:t xml:space="preserve">Figure </w:t>
      </w:r>
      <w:r>
        <w:rPr>
          <w:sz w:val="22"/>
          <w:lang w:val="en-US" w:eastAsia="zh-CN"/>
        </w:rPr>
        <w:t>2</w:t>
      </w:r>
      <w:r w:rsidRPr="00174C5F">
        <w:rPr>
          <w:sz w:val="22"/>
          <w:lang w:val="en-US" w:eastAsia="zh-CN"/>
        </w:rPr>
        <w:t xml:space="preserve">: </w:t>
      </w:r>
      <w:r>
        <w:rPr>
          <w:sz w:val="22"/>
          <w:lang w:val="en-US" w:eastAsia="zh-CN"/>
        </w:rPr>
        <w:t>Incidence angles of received power measurements in RI test setup.</w:t>
      </w:r>
    </w:p>
    <w:p w14:paraId="31260E4E" w14:textId="77777777" w:rsidR="006E1FEB" w:rsidRDefault="006E1FEB" w:rsidP="006E1FEB">
      <w:pPr>
        <w:jc w:val="both"/>
        <w:rPr>
          <w:color w:val="000000" w:themeColor="text1"/>
          <w:sz w:val="22"/>
        </w:rPr>
      </w:pPr>
      <w:r>
        <w:rPr>
          <w:color w:val="000000" w:themeColor="text1"/>
          <w:sz w:val="22"/>
        </w:rPr>
        <w:t xml:space="preserve">The results for the two initial interferer frequencies are presented for the different incidence angles in Figures 3 and 4. The out-of-band blocking limit of -15 dBm has been included in the Figures (red circle). </w:t>
      </w:r>
    </w:p>
    <w:p w14:paraId="1BFF9FE1" w14:textId="77777777" w:rsidR="006E1FEB" w:rsidRDefault="006E1FEB" w:rsidP="006E1FEB">
      <w:pPr>
        <w:jc w:val="both"/>
        <w:rPr>
          <w:color w:val="000000" w:themeColor="text1"/>
          <w:sz w:val="22"/>
        </w:rPr>
      </w:pPr>
      <w:r>
        <w:rPr>
          <w:noProof/>
          <w:lang w:val="sv-SE" w:eastAsia="sv-SE"/>
        </w:rPr>
        <w:drawing>
          <wp:inline distT="0" distB="0" distL="0" distR="0" wp14:anchorId="2BD44D30" wp14:editId="0AA1E5C9">
            <wp:extent cx="5267325" cy="2952750"/>
            <wp:effectExtent l="0" t="0" r="0" b="0"/>
            <wp:docPr id="6" name="Chart 6">
              <a:extLst xmlns:a="http://schemas.openxmlformats.org/drawingml/2006/main">
                <a:ext uri="{FF2B5EF4-FFF2-40B4-BE49-F238E27FC236}">
                  <a16:creationId xmlns:a16="http://schemas.microsoft.com/office/drawing/2014/main" id="{1F31E36E-726C-4791-B9F2-DBE1E6CEF6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8A5308A" w14:textId="77777777" w:rsidR="006E1FEB" w:rsidRDefault="006E1FEB" w:rsidP="006E1FEB">
      <w:pPr>
        <w:overflowPunct w:val="0"/>
        <w:autoSpaceDE w:val="0"/>
        <w:autoSpaceDN w:val="0"/>
        <w:adjustRightInd w:val="0"/>
        <w:spacing w:after="120" w:line="300" w:lineRule="auto"/>
        <w:jc w:val="both"/>
        <w:rPr>
          <w:sz w:val="22"/>
          <w:lang w:val="en-US" w:eastAsia="zh-CN"/>
        </w:rPr>
      </w:pPr>
      <w:r w:rsidRPr="00174C5F">
        <w:rPr>
          <w:sz w:val="22"/>
          <w:lang w:val="en-US" w:eastAsia="zh-CN"/>
        </w:rPr>
        <w:t xml:space="preserve">Figure </w:t>
      </w:r>
      <w:r>
        <w:rPr>
          <w:sz w:val="22"/>
          <w:lang w:val="en-US" w:eastAsia="zh-CN"/>
        </w:rPr>
        <w:t>3</w:t>
      </w:r>
      <w:r w:rsidRPr="00174C5F">
        <w:rPr>
          <w:sz w:val="22"/>
          <w:lang w:val="en-US" w:eastAsia="zh-CN"/>
        </w:rPr>
        <w:t xml:space="preserve">: </w:t>
      </w:r>
      <w:r>
        <w:rPr>
          <w:sz w:val="22"/>
          <w:lang w:val="en-US" w:eastAsia="zh-CN"/>
        </w:rPr>
        <w:t xml:space="preserve"> Received power (dBm) as function of incidence angle for the 3 V/m 500 MHz interferer.</w:t>
      </w:r>
    </w:p>
    <w:p w14:paraId="3443E1A5" w14:textId="77777777" w:rsidR="006E1FEB" w:rsidRDefault="006E1FEB" w:rsidP="006E1FEB">
      <w:pPr>
        <w:overflowPunct w:val="0"/>
        <w:autoSpaceDE w:val="0"/>
        <w:autoSpaceDN w:val="0"/>
        <w:adjustRightInd w:val="0"/>
        <w:spacing w:after="120" w:line="300" w:lineRule="auto"/>
        <w:jc w:val="both"/>
        <w:rPr>
          <w:sz w:val="22"/>
          <w:lang w:val="en-US" w:eastAsia="zh-CN"/>
        </w:rPr>
      </w:pPr>
      <w:r>
        <w:rPr>
          <w:sz w:val="22"/>
          <w:lang w:val="en-US" w:eastAsia="zh-CN"/>
        </w:rPr>
        <w:t xml:space="preserve">As noted in the legends of Figure 3, some additional tests not mentioned above where also done. Except for the standard requirement to test both polarizations of the range (interferer) antenna (light blue and orange lines above), additional measurements where done with the EUT antenna 45° tilted (grey and yellow lines). As the EUT antenna elements are +/- 45° polarized the intension was to match polarizations of the two antennas in the setup. Finally, the </w:t>
      </w:r>
      <w:r>
        <w:rPr>
          <w:sz w:val="22"/>
          <w:lang w:val="en-US" w:eastAsia="zh-CN"/>
        </w:rPr>
        <w:lastRenderedPageBreak/>
        <w:t xml:space="preserve">antenna element on which the measurement was performed was changed and both +45° and -45° polarizations where assessed (dark blue and green lines). The results show that the choice of port has no major impact on the results. </w:t>
      </w:r>
    </w:p>
    <w:p w14:paraId="2B3443AB" w14:textId="77777777" w:rsidR="006E1FEB" w:rsidRPr="004A01E4" w:rsidRDefault="006E1FEB" w:rsidP="006E1FEB">
      <w:pPr>
        <w:overflowPunct w:val="0"/>
        <w:autoSpaceDE w:val="0"/>
        <w:autoSpaceDN w:val="0"/>
        <w:adjustRightInd w:val="0"/>
        <w:spacing w:after="120" w:line="300" w:lineRule="auto"/>
        <w:jc w:val="both"/>
        <w:rPr>
          <w:color w:val="000000" w:themeColor="text1"/>
          <w:sz w:val="22"/>
          <w:lang w:val="en-US"/>
        </w:rPr>
      </w:pPr>
      <w:r>
        <w:rPr>
          <w:sz w:val="22"/>
          <w:lang w:val="en-US" w:eastAsia="zh-CN"/>
        </w:rPr>
        <w:t xml:space="preserve">Note: The irregularities in the results may be a result of reflections in the measurement chamber. </w:t>
      </w:r>
    </w:p>
    <w:p w14:paraId="0F14D0F7" w14:textId="77777777" w:rsidR="006E1FEB" w:rsidRDefault="006E1FEB" w:rsidP="006E1FEB">
      <w:pPr>
        <w:jc w:val="both"/>
        <w:rPr>
          <w:color w:val="000000" w:themeColor="text1"/>
          <w:sz w:val="22"/>
        </w:rPr>
      </w:pPr>
      <w:r>
        <w:rPr>
          <w:noProof/>
          <w:lang w:val="sv-SE" w:eastAsia="sv-SE"/>
        </w:rPr>
        <w:drawing>
          <wp:inline distT="0" distB="0" distL="0" distR="0" wp14:anchorId="7FF8FE19" wp14:editId="0E38FA20">
            <wp:extent cx="5353050" cy="2952750"/>
            <wp:effectExtent l="0" t="0" r="0" b="0"/>
            <wp:docPr id="8" name="Chart 8">
              <a:extLst xmlns:a="http://schemas.openxmlformats.org/drawingml/2006/main">
                <a:ext uri="{FF2B5EF4-FFF2-40B4-BE49-F238E27FC236}">
                  <a16:creationId xmlns:a16="http://schemas.microsoft.com/office/drawing/2014/main" id="{DA039F06-DBCD-4524-A605-9B8A15D032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CA13F0A" w14:textId="77777777" w:rsidR="006E1FEB" w:rsidRDefault="006E1FEB" w:rsidP="006E1FEB">
      <w:pPr>
        <w:overflowPunct w:val="0"/>
        <w:autoSpaceDE w:val="0"/>
        <w:autoSpaceDN w:val="0"/>
        <w:adjustRightInd w:val="0"/>
        <w:spacing w:after="120" w:line="300" w:lineRule="auto"/>
        <w:jc w:val="both"/>
        <w:rPr>
          <w:sz w:val="22"/>
          <w:lang w:val="en-US" w:eastAsia="zh-CN"/>
        </w:rPr>
      </w:pPr>
      <w:r w:rsidRPr="00174C5F">
        <w:rPr>
          <w:sz w:val="22"/>
          <w:lang w:val="en-US" w:eastAsia="zh-CN"/>
        </w:rPr>
        <w:t xml:space="preserve">Figure </w:t>
      </w:r>
      <w:r>
        <w:rPr>
          <w:sz w:val="22"/>
          <w:lang w:val="en-US" w:eastAsia="zh-CN"/>
        </w:rPr>
        <w:t>4</w:t>
      </w:r>
      <w:r w:rsidRPr="00174C5F">
        <w:rPr>
          <w:sz w:val="22"/>
          <w:lang w:val="en-US" w:eastAsia="zh-CN"/>
        </w:rPr>
        <w:t xml:space="preserve">: </w:t>
      </w:r>
      <w:r>
        <w:rPr>
          <w:sz w:val="22"/>
          <w:lang w:val="en-US" w:eastAsia="zh-CN"/>
        </w:rPr>
        <w:t xml:space="preserve"> Received power (dBm) as function of incidence angle for the 10 V/m 2140 MHz interferer.</w:t>
      </w:r>
    </w:p>
    <w:p w14:paraId="40FC3C06" w14:textId="77777777" w:rsidR="006E1FEB" w:rsidRDefault="006E1FEB" w:rsidP="006E1FEB">
      <w:pPr>
        <w:jc w:val="both"/>
        <w:rPr>
          <w:color w:val="000000" w:themeColor="text1"/>
          <w:sz w:val="22"/>
        </w:rPr>
      </w:pPr>
      <w:r>
        <w:rPr>
          <w:color w:val="000000" w:themeColor="text1"/>
          <w:sz w:val="22"/>
        </w:rPr>
        <w:t>As noted in the legends of Figure 4, some additional measurements with a 45° tilted EUT were performed also at this frequency. The results show an expected polarization dependence.</w:t>
      </w:r>
    </w:p>
    <w:p w14:paraId="27978068" w14:textId="77777777" w:rsidR="006E1FEB" w:rsidRDefault="006E1FEB" w:rsidP="006E1FEB">
      <w:pPr>
        <w:jc w:val="both"/>
        <w:rPr>
          <w:b/>
          <w:i/>
          <w:color w:val="000000" w:themeColor="text1"/>
          <w:sz w:val="22"/>
        </w:rPr>
      </w:pPr>
      <w:r>
        <w:rPr>
          <w:b/>
          <w:i/>
          <w:color w:val="000000" w:themeColor="text1"/>
          <w:sz w:val="22"/>
        </w:rPr>
        <w:t xml:space="preserve">Observation 1: </w:t>
      </w:r>
    </w:p>
    <w:p w14:paraId="7A25E188" w14:textId="77777777" w:rsidR="006E1FEB" w:rsidRDefault="006E1FEB" w:rsidP="006E1FEB">
      <w:pPr>
        <w:jc w:val="both"/>
        <w:rPr>
          <w:color w:val="000000" w:themeColor="text1"/>
          <w:sz w:val="22"/>
        </w:rPr>
      </w:pPr>
      <w:r>
        <w:rPr>
          <w:color w:val="000000" w:themeColor="text1"/>
          <w:sz w:val="22"/>
        </w:rPr>
        <w:t xml:space="preserve">The results in Figures 3 and 4 show that the received power level is highly dependent on the incidence angle of the interferer signal. </w:t>
      </w:r>
    </w:p>
    <w:p w14:paraId="1A4A10C0" w14:textId="77777777" w:rsidR="006E1FEB" w:rsidRDefault="006E1FEB" w:rsidP="006E1FEB">
      <w:pPr>
        <w:jc w:val="both"/>
        <w:rPr>
          <w:b/>
          <w:i/>
          <w:color w:val="000000" w:themeColor="text1"/>
          <w:sz w:val="22"/>
        </w:rPr>
      </w:pPr>
      <w:r>
        <w:rPr>
          <w:b/>
          <w:i/>
          <w:color w:val="000000" w:themeColor="text1"/>
          <w:sz w:val="22"/>
        </w:rPr>
        <w:t>Observation 2:</w:t>
      </w:r>
    </w:p>
    <w:p w14:paraId="2671506C" w14:textId="77777777" w:rsidR="006E1FEB" w:rsidRDefault="006E1FEB" w:rsidP="006E1FEB">
      <w:pPr>
        <w:jc w:val="both"/>
        <w:rPr>
          <w:color w:val="000000" w:themeColor="text1"/>
          <w:sz w:val="22"/>
        </w:rPr>
      </w:pPr>
      <w:r>
        <w:rPr>
          <w:color w:val="000000" w:themeColor="text1"/>
          <w:sz w:val="22"/>
        </w:rPr>
        <w:t xml:space="preserve">The results in Figure 3 show that all measured received power levels are below the OOB blocking limit for the 3 V/m 500 MHz interferer case. </w:t>
      </w:r>
    </w:p>
    <w:p w14:paraId="6426FB53" w14:textId="77777777" w:rsidR="006E1FEB" w:rsidRDefault="006E1FEB" w:rsidP="006E1FEB">
      <w:pPr>
        <w:jc w:val="both"/>
        <w:rPr>
          <w:b/>
          <w:i/>
          <w:color w:val="000000" w:themeColor="text1"/>
          <w:sz w:val="22"/>
        </w:rPr>
      </w:pPr>
      <w:r>
        <w:rPr>
          <w:b/>
          <w:i/>
          <w:color w:val="000000" w:themeColor="text1"/>
          <w:sz w:val="22"/>
        </w:rPr>
        <w:t>Observation 3:</w:t>
      </w:r>
    </w:p>
    <w:p w14:paraId="468492EB" w14:textId="77777777" w:rsidR="006E1FEB" w:rsidRDefault="006E1FEB" w:rsidP="006E1FEB">
      <w:pPr>
        <w:jc w:val="both"/>
        <w:rPr>
          <w:color w:val="000000" w:themeColor="text1"/>
          <w:sz w:val="22"/>
        </w:rPr>
      </w:pPr>
      <w:r>
        <w:rPr>
          <w:color w:val="000000" w:themeColor="text1"/>
          <w:sz w:val="22"/>
        </w:rPr>
        <w:t xml:space="preserve">The results in Figure 4 for the 10 V/m 2140 MHz interferer show that for a frequency where the OTA AAS BS </w:t>
      </w:r>
      <w:r w:rsidRPr="00C445F2">
        <w:rPr>
          <w:color w:val="000000" w:themeColor="text1"/>
          <w:sz w:val="22"/>
        </w:rPr>
        <w:t>array</w:t>
      </w:r>
      <w:r>
        <w:rPr>
          <w:color w:val="000000" w:themeColor="text1"/>
          <w:sz w:val="22"/>
        </w:rPr>
        <w:t xml:space="preserve"> </w:t>
      </w:r>
      <w:r w:rsidRPr="001F1124">
        <w:rPr>
          <w:color w:val="000000" w:themeColor="text1"/>
          <w:sz w:val="22"/>
        </w:rPr>
        <w:t>element</w:t>
      </w:r>
      <w:r>
        <w:rPr>
          <w:color w:val="000000" w:themeColor="text1"/>
          <w:sz w:val="22"/>
        </w:rPr>
        <w:t xml:space="preserve"> is matched, the OOB blocking limit may be exceeded for any incidence angle and for the 90° case where the antenna front is facing the interferer the received power level may be exceeded by more than 15 dB.</w:t>
      </w:r>
    </w:p>
    <w:p w14:paraId="67050D32" w14:textId="77777777" w:rsidR="006E1FEB" w:rsidRDefault="006E1FEB" w:rsidP="006E1FEB">
      <w:pPr>
        <w:jc w:val="both"/>
        <w:rPr>
          <w:b/>
          <w:i/>
          <w:color w:val="000000" w:themeColor="text1"/>
          <w:sz w:val="22"/>
        </w:rPr>
      </w:pPr>
      <w:r>
        <w:rPr>
          <w:b/>
          <w:i/>
          <w:color w:val="000000" w:themeColor="text1"/>
          <w:sz w:val="22"/>
        </w:rPr>
        <w:t>Observation 4:</w:t>
      </w:r>
    </w:p>
    <w:p w14:paraId="47D83079" w14:textId="50297EAE" w:rsidR="006E1FEB" w:rsidRDefault="006E1FEB" w:rsidP="006E1FEB">
      <w:pPr>
        <w:jc w:val="both"/>
        <w:rPr>
          <w:color w:val="000000" w:themeColor="text1"/>
          <w:sz w:val="22"/>
          <w:lang w:val="en-US"/>
        </w:rPr>
      </w:pPr>
      <w:r>
        <w:rPr>
          <w:color w:val="000000" w:themeColor="text1"/>
          <w:sz w:val="22"/>
          <w:lang w:val="en-US"/>
        </w:rPr>
        <w:t xml:space="preserve">The results in Figures 3 and 4 show that the OOB blocking limit is exceeded for almost all angular incidences between </w:t>
      </w:r>
      <w:r>
        <w:rPr>
          <w:color w:val="000000" w:themeColor="text1"/>
          <w:sz w:val="22"/>
          <w:lang w:val="en-US"/>
        </w:rPr>
        <w:br/>
        <w:t>0-180° with a 10 V/m interferer level, whereas the OOB blocking limit is met for all angular incidences for the 3 V/m case.</w:t>
      </w:r>
    </w:p>
    <w:p w14:paraId="55597B9E" w14:textId="77777777" w:rsidR="006E36A6" w:rsidRDefault="006E36A6" w:rsidP="006E36A6">
      <w:pPr>
        <w:jc w:val="both"/>
        <w:rPr>
          <w:b/>
          <w:i/>
          <w:color w:val="000000" w:themeColor="text1"/>
          <w:sz w:val="22"/>
        </w:rPr>
      </w:pPr>
      <w:r>
        <w:rPr>
          <w:b/>
          <w:i/>
          <w:color w:val="000000" w:themeColor="text1"/>
          <w:sz w:val="22"/>
        </w:rPr>
        <w:t>Observation 5:</w:t>
      </w:r>
    </w:p>
    <w:p w14:paraId="64E831BD" w14:textId="77777777" w:rsidR="006E36A6" w:rsidRDefault="006E36A6" w:rsidP="006E36A6">
      <w:pPr>
        <w:jc w:val="both"/>
        <w:rPr>
          <w:color w:val="000000" w:themeColor="text1"/>
          <w:sz w:val="22"/>
          <w:lang w:val="en-US"/>
        </w:rPr>
      </w:pPr>
      <w:r>
        <w:rPr>
          <w:color w:val="000000" w:themeColor="text1"/>
          <w:sz w:val="22"/>
          <w:lang w:val="en-US"/>
        </w:rPr>
        <w:t>From a test setup perspective, and considering the results presented in Figures 3 and 4, the OOB blocking limit is exceeded when  a 10 V/m interferer level is applied on the front side of the EUT. On the other hand,  the OOB blocking limit is met for all the faces of the EUT for the 3 V/m case.</w:t>
      </w:r>
    </w:p>
    <w:p w14:paraId="4BC86EB8" w14:textId="77777777" w:rsidR="006E1FEB" w:rsidRDefault="006E1FEB" w:rsidP="006E1FEB">
      <w:pPr>
        <w:jc w:val="both"/>
        <w:rPr>
          <w:color w:val="000000" w:themeColor="text1"/>
          <w:sz w:val="22"/>
          <w:lang w:val="en-US"/>
        </w:rPr>
      </w:pPr>
    </w:p>
    <w:p w14:paraId="634C5DBC" w14:textId="77777777" w:rsidR="006E1FEB" w:rsidRPr="00ED5300" w:rsidRDefault="006E1FEB" w:rsidP="006E1FEB">
      <w:pPr>
        <w:jc w:val="both"/>
        <w:rPr>
          <w:rFonts w:ascii="Arial" w:hAnsi="Arial"/>
          <w:sz w:val="28"/>
          <w:szCs w:val="28"/>
        </w:rPr>
      </w:pPr>
      <w:r w:rsidRPr="00ED5300">
        <w:rPr>
          <w:rFonts w:ascii="Arial" w:hAnsi="Arial"/>
          <w:sz w:val="28"/>
          <w:szCs w:val="28"/>
        </w:rPr>
        <w:t xml:space="preserve">2.2 </w:t>
      </w:r>
      <w:r>
        <w:rPr>
          <w:rFonts w:ascii="Arial" w:hAnsi="Arial"/>
          <w:sz w:val="28"/>
          <w:szCs w:val="28"/>
        </w:rPr>
        <w:t xml:space="preserve">IEC considerations on EMC </w:t>
      </w:r>
      <w:r w:rsidRPr="00ED5300">
        <w:rPr>
          <w:rFonts w:ascii="Arial" w:hAnsi="Arial"/>
          <w:sz w:val="28"/>
          <w:szCs w:val="28"/>
        </w:rPr>
        <w:t>Test procedure</w:t>
      </w:r>
    </w:p>
    <w:p w14:paraId="713DF0BF" w14:textId="77777777" w:rsidR="006E36A6" w:rsidRDefault="006E36A6" w:rsidP="006E36A6">
      <w:pPr>
        <w:jc w:val="both"/>
        <w:rPr>
          <w:color w:val="000000" w:themeColor="text1"/>
          <w:sz w:val="22"/>
          <w:lang w:val="en-US"/>
        </w:rPr>
      </w:pPr>
      <w:r w:rsidRPr="00ED5300">
        <w:rPr>
          <w:color w:val="000000" w:themeColor="text1"/>
          <w:sz w:val="22"/>
          <w:lang w:val="en-US"/>
        </w:rPr>
        <w:t xml:space="preserve">According to </w:t>
      </w:r>
      <w:r>
        <w:rPr>
          <w:color w:val="000000" w:themeColor="text1"/>
          <w:sz w:val="22"/>
          <w:lang w:val="en-US"/>
        </w:rPr>
        <w:t>IEC in [4], EMC Test “</w:t>
      </w:r>
      <w:r w:rsidRPr="00AB0442">
        <w:rPr>
          <w:i/>
          <w:color w:val="000000" w:themeColor="text1"/>
          <w:sz w:val="22"/>
          <w:lang w:val="en-US"/>
        </w:rPr>
        <w:t xml:space="preserve">shall normally be performed with the generating antenna facing each side of the EUT. When equipment can be used in different orientations (i.e. vertical or horizontal) all sides shall be exposed to </w:t>
      </w:r>
      <w:r w:rsidRPr="00AB0442">
        <w:rPr>
          <w:i/>
          <w:color w:val="000000" w:themeColor="text1"/>
          <w:sz w:val="22"/>
          <w:lang w:val="en-US"/>
        </w:rPr>
        <w:lastRenderedPageBreak/>
        <w:t>the field during the test. When technically justified, some EUTs can be tested by exposing fewer faces to the generating antenna. In other cases, as determined for example by the type and size of EUT or the frequencies of test, more than four azimuths may need to be exposed</w:t>
      </w:r>
      <w:r w:rsidRPr="00ED5300">
        <w:rPr>
          <w:color w:val="000000" w:themeColor="text1"/>
          <w:sz w:val="22"/>
          <w:lang w:val="en-US"/>
        </w:rPr>
        <w:t>.</w:t>
      </w:r>
      <w:r>
        <w:rPr>
          <w:color w:val="000000" w:themeColor="text1"/>
          <w:sz w:val="22"/>
          <w:lang w:val="en-US"/>
        </w:rPr>
        <w:t xml:space="preserve">” </w:t>
      </w:r>
    </w:p>
    <w:p w14:paraId="7049B42A" w14:textId="77777777" w:rsidR="006E36A6" w:rsidRDefault="006E36A6" w:rsidP="006E36A6">
      <w:pPr>
        <w:jc w:val="both"/>
        <w:rPr>
          <w:b/>
          <w:i/>
          <w:color w:val="000000" w:themeColor="text1"/>
          <w:sz w:val="22"/>
        </w:rPr>
      </w:pPr>
      <w:r>
        <w:rPr>
          <w:b/>
          <w:i/>
          <w:color w:val="000000" w:themeColor="text1"/>
          <w:sz w:val="22"/>
        </w:rPr>
        <w:t>Observation 6:</w:t>
      </w:r>
    </w:p>
    <w:p w14:paraId="569194EF" w14:textId="77777777" w:rsidR="006E36A6" w:rsidRDefault="006E36A6" w:rsidP="006E36A6">
      <w:pPr>
        <w:jc w:val="both"/>
        <w:rPr>
          <w:color w:val="000000" w:themeColor="text1"/>
          <w:sz w:val="22"/>
        </w:rPr>
      </w:pPr>
      <w:r>
        <w:rPr>
          <w:color w:val="000000" w:themeColor="text1"/>
          <w:sz w:val="22"/>
          <w:lang w:val="en-US"/>
        </w:rPr>
        <w:t xml:space="preserve">RI is normally tested with the generating antenna facing four sides of the EUT </w:t>
      </w:r>
      <w:r>
        <w:rPr>
          <w:color w:val="000000" w:themeColor="text1"/>
          <w:sz w:val="22"/>
        </w:rPr>
        <w:t xml:space="preserve">(Front, back, left and right side), as presented in Figure 5. </w:t>
      </w:r>
    </w:p>
    <w:p w14:paraId="4F12EE7E" w14:textId="77777777" w:rsidR="006E1FEB" w:rsidRDefault="006E1FEB" w:rsidP="006E1FEB">
      <w:pPr>
        <w:jc w:val="both"/>
        <w:rPr>
          <w:color w:val="000000" w:themeColor="text1"/>
          <w:sz w:val="22"/>
        </w:rPr>
      </w:pPr>
    </w:p>
    <w:p w14:paraId="245433A3" w14:textId="77777777" w:rsidR="006E1FEB" w:rsidRDefault="006E1FEB" w:rsidP="006E1FEB">
      <w:pPr>
        <w:jc w:val="center"/>
        <w:rPr>
          <w:color w:val="000000" w:themeColor="text1"/>
          <w:sz w:val="22"/>
        </w:rPr>
      </w:pPr>
      <w:r>
        <w:rPr>
          <w:noProof/>
          <w:color w:val="000000" w:themeColor="text1"/>
          <w:sz w:val="22"/>
        </w:rPr>
        <w:drawing>
          <wp:inline distT="0" distB="0" distL="0" distR="0" wp14:anchorId="3AE0469D" wp14:editId="4901B639">
            <wp:extent cx="4953000" cy="3232169"/>
            <wp:effectExtent l="0" t="0" r="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no spatial exclusion.png"/>
                    <pic:cNvPicPr/>
                  </pic:nvPicPr>
                  <pic:blipFill>
                    <a:blip r:embed="rId12">
                      <a:extLst>
                        <a:ext uri="{28A0092B-C50C-407E-A947-70E740481C1C}">
                          <a14:useLocalDpi xmlns:a14="http://schemas.microsoft.com/office/drawing/2010/main" val="0"/>
                        </a:ext>
                      </a:extLst>
                    </a:blip>
                    <a:stretch>
                      <a:fillRect/>
                    </a:stretch>
                  </pic:blipFill>
                  <pic:spPr>
                    <a:xfrm>
                      <a:off x="0" y="0"/>
                      <a:ext cx="4958158" cy="3235535"/>
                    </a:xfrm>
                    <a:prstGeom prst="rect">
                      <a:avLst/>
                    </a:prstGeom>
                  </pic:spPr>
                </pic:pic>
              </a:graphicData>
            </a:graphic>
          </wp:inline>
        </w:drawing>
      </w:r>
    </w:p>
    <w:p w14:paraId="4D4DC237" w14:textId="2DCD3898" w:rsidR="006E1FEB" w:rsidRDefault="006E1FEB" w:rsidP="006E1FEB">
      <w:pPr>
        <w:overflowPunct w:val="0"/>
        <w:autoSpaceDE w:val="0"/>
        <w:autoSpaceDN w:val="0"/>
        <w:adjustRightInd w:val="0"/>
        <w:spacing w:after="120" w:line="300" w:lineRule="auto"/>
        <w:jc w:val="center"/>
        <w:rPr>
          <w:sz w:val="22"/>
          <w:lang w:val="en-US" w:eastAsia="zh-CN"/>
        </w:rPr>
      </w:pPr>
      <w:r w:rsidRPr="00174C5F">
        <w:rPr>
          <w:sz w:val="22"/>
          <w:lang w:val="en-US" w:eastAsia="zh-CN"/>
        </w:rPr>
        <w:t xml:space="preserve">Figure </w:t>
      </w:r>
      <w:r w:rsidR="004D41E4">
        <w:rPr>
          <w:sz w:val="22"/>
          <w:lang w:val="en-US" w:eastAsia="zh-CN"/>
        </w:rPr>
        <w:t>5</w:t>
      </w:r>
      <w:r w:rsidRPr="00174C5F">
        <w:rPr>
          <w:sz w:val="22"/>
          <w:lang w:val="en-US" w:eastAsia="zh-CN"/>
        </w:rPr>
        <w:t xml:space="preserve">: </w:t>
      </w:r>
      <w:r>
        <w:rPr>
          <w:sz w:val="22"/>
          <w:lang w:val="en-US" w:eastAsia="zh-CN"/>
        </w:rPr>
        <w:t>Faces considered in RI test setup.</w:t>
      </w:r>
    </w:p>
    <w:p w14:paraId="74E9E98C" w14:textId="77777777" w:rsidR="006E36A6" w:rsidRPr="00922B32" w:rsidRDefault="006E36A6" w:rsidP="006E36A6">
      <w:pPr>
        <w:jc w:val="both"/>
        <w:rPr>
          <w:sz w:val="22"/>
          <w:lang w:eastAsia="zh-CN"/>
        </w:rPr>
      </w:pPr>
      <w:r>
        <w:rPr>
          <w:color w:val="000000" w:themeColor="text1"/>
          <w:sz w:val="22"/>
          <w:lang w:val="en-US"/>
        </w:rPr>
        <w:t>However, IEC 61000-4-3 also states that w</w:t>
      </w:r>
      <w:r w:rsidRPr="00922B32">
        <w:rPr>
          <w:color w:val="000000" w:themeColor="text1"/>
          <w:sz w:val="22"/>
          <w:lang w:val="en-US"/>
        </w:rPr>
        <w:t>hen technically justified, some EUTs can be tested by exposing fewer</w:t>
      </w:r>
      <w:r>
        <w:rPr>
          <w:color w:val="000000" w:themeColor="text1"/>
          <w:sz w:val="22"/>
          <w:lang w:val="en-US"/>
        </w:rPr>
        <w:t xml:space="preserve"> </w:t>
      </w:r>
      <w:r w:rsidRPr="00922B32">
        <w:rPr>
          <w:color w:val="000000" w:themeColor="text1"/>
          <w:sz w:val="22"/>
          <w:lang w:val="en-US"/>
        </w:rPr>
        <w:t>faces to the generating antenna</w:t>
      </w:r>
      <w:r>
        <w:rPr>
          <w:color w:val="000000" w:themeColor="text1"/>
          <w:sz w:val="22"/>
          <w:lang w:val="en-US"/>
        </w:rPr>
        <w:t>.</w:t>
      </w:r>
    </w:p>
    <w:p w14:paraId="6EE1F8A2" w14:textId="6E0C3F35" w:rsidR="006E36A6" w:rsidRPr="00E37AAD" w:rsidRDefault="006E36A6" w:rsidP="006E1FEB">
      <w:pPr>
        <w:jc w:val="both"/>
        <w:rPr>
          <w:color w:val="000000" w:themeColor="text1"/>
          <w:sz w:val="22"/>
        </w:rPr>
      </w:pPr>
    </w:p>
    <w:p w14:paraId="7E4A7926" w14:textId="77777777" w:rsidR="006E36A6" w:rsidRDefault="006E36A6" w:rsidP="006E36A6">
      <w:pPr>
        <w:overflowPunct w:val="0"/>
        <w:autoSpaceDE w:val="0"/>
        <w:autoSpaceDN w:val="0"/>
        <w:adjustRightInd w:val="0"/>
        <w:spacing w:after="120" w:line="300" w:lineRule="auto"/>
        <w:jc w:val="both"/>
        <w:rPr>
          <w:rFonts w:ascii="Arial" w:hAnsi="Arial"/>
          <w:sz w:val="28"/>
          <w:szCs w:val="28"/>
        </w:rPr>
      </w:pPr>
      <w:r>
        <w:rPr>
          <w:rFonts w:ascii="Arial" w:hAnsi="Arial"/>
          <w:sz w:val="28"/>
          <w:szCs w:val="28"/>
        </w:rPr>
        <w:t>2.3</w:t>
      </w:r>
      <w:r w:rsidRPr="00ED5300">
        <w:rPr>
          <w:rFonts w:ascii="Arial" w:hAnsi="Arial"/>
          <w:sz w:val="28"/>
          <w:szCs w:val="28"/>
        </w:rPr>
        <w:t xml:space="preserve"> </w:t>
      </w:r>
      <w:r>
        <w:rPr>
          <w:rFonts w:ascii="Arial" w:hAnsi="Arial"/>
          <w:sz w:val="28"/>
          <w:szCs w:val="28"/>
        </w:rPr>
        <w:t>Additional considerations on EMC Testing</w:t>
      </w:r>
    </w:p>
    <w:p w14:paraId="0A16945A" w14:textId="77777777" w:rsidR="006E36A6" w:rsidRDefault="006E36A6" w:rsidP="006E36A6">
      <w:pPr>
        <w:jc w:val="both"/>
        <w:rPr>
          <w:color w:val="000000" w:themeColor="text1"/>
          <w:sz w:val="22"/>
          <w:lang w:val="en-US"/>
        </w:rPr>
      </w:pPr>
      <w:r w:rsidRPr="005D5FF1">
        <w:rPr>
          <w:color w:val="000000" w:themeColor="text1"/>
          <w:sz w:val="22"/>
          <w:lang w:val="en-US"/>
        </w:rPr>
        <w:t>In a real scenario, there is no difference between the</w:t>
      </w:r>
      <w:r>
        <w:rPr>
          <w:color w:val="000000" w:themeColor="text1"/>
          <w:sz w:val="22"/>
          <w:lang w:val="en-US"/>
        </w:rPr>
        <w:t xml:space="preserve"> following cases:</w:t>
      </w:r>
    </w:p>
    <w:p w14:paraId="1F4609C1" w14:textId="77777777" w:rsidR="006E36A6" w:rsidRDefault="006E36A6" w:rsidP="006E36A6">
      <w:pPr>
        <w:pStyle w:val="ListParagraph"/>
        <w:numPr>
          <w:ilvl w:val="0"/>
          <w:numId w:val="38"/>
        </w:numPr>
        <w:ind w:firstLineChars="0"/>
        <w:jc w:val="both"/>
        <w:rPr>
          <w:color w:val="000000" w:themeColor="text1"/>
          <w:sz w:val="22"/>
          <w:lang w:val="en-US"/>
        </w:rPr>
      </w:pPr>
      <w:r w:rsidRPr="000A3254">
        <w:rPr>
          <w:color w:val="000000" w:themeColor="text1"/>
          <w:sz w:val="22"/>
          <w:lang w:val="en-US"/>
        </w:rPr>
        <w:t>OTA case where an antenna is connected directly to the radio</w:t>
      </w:r>
      <w:r>
        <w:rPr>
          <w:color w:val="000000" w:themeColor="text1"/>
          <w:sz w:val="22"/>
          <w:lang w:val="en-US"/>
        </w:rPr>
        <w:t>.</w:t>
      </w:r>
    </w:p>
    <w:p w14:paraId="5CF0E869" w14:textId="77777777" w:rsidR="006E36A6" w:rsidRDefault="006E36A6" w:rsidP="006E36A6">
      <w:pPr>
        <w:pStyle w:val="ListParagraph"/>
        <w:numPr>
          <w:ilvl w:val="0"/>
          <w:numId w:val="38"/>
        </w:numPr>
        <w:ind w:firstLineChars="0"/>
        <w:jc w:val="both"/>
        <w:rPr>
          <w:color w:val="000000" w:themeColor="text1"/>
          <w:sz w:val="22"/>
          <w:lang w:val="en-US"/>
        </w:rPr>
      </w:pPr>
      <w:r>
        <w:rPr>
          <w:color w:val="000000" w:themeColor="text1"/>
          <w:sz w:val="22"/>
          <w:lang w:val="en-US"/>
        </w:rPr>
        <w:t>The conducted scenario where the antenna is connected to the r</w:t>
      </w:r>
      <w:r w:rsidRPr="000A3254">
        <w:rPr>
          <w:color w:val="000000" w:themeColor="text1"/>
          <w:sz w:val="22"/>
          <w:lang w:val="en-US"/>
        </w:rPr>
        <w:t xml:space="preserve">adio via a detachable cable. </w:t>
      </w:r>
    </w:p>
    <w:p w14:paraId="2110DFEF" w14:textId="77777777" w:rsidR="006E36A6" w:rsidRDefault="006E36A6" w:rsidP="006E36A6">
      <w:pPr>
        <w:jc w:val="both"/>
        <w:rPr>
          <w:color w:val="000000" w:themeColor="text1"/>
          <w:sz w:val="22"/>
          <w:lang w:val="en-US"/>
        </w:rPr>
      </w:pPr>
      <w:r w:rsidRPr="000A3254">
        <w:rPr>
          <w:color w:val="000000" w:themeColor="text1"/>
          <w:sz w:val="22"/>
          <w:lang w:val="en-US"/>
        </w:rPr>
        <w:t xml:space="preserve">For both cases, the Radio needs to be able to handle interfering signals from other interfering sources, including but not limited to mobile services. </w:t>
      </w:r>
      <w:r>
        <w:rPr>
          <w:color w:val="000000" w:themeColor="text1"/>
          <w:sz w:val="22"/>
          <w:lang w:val="en-US"/>
        </w:rPr>
        <w:t>Additionally, in a real scenario and for both cases (conducted and OTA), it must be guaranteed that no other services (and their corresponding antenna) are transmitting directly pointing into the Antenna associated to mobile services.</w:t>
      </w:r>
    </w:p>
    <w:p w14:paraId="1F6B9ADC" w14:textId="77777777" w:rsidR="006E36A6" w:rsidRPr="005D5FF1" w:rsidRDefault="006E36A6" w:rsidP="006E36A6">
      <w:pPr>
        <w:jc w:val="both"/>
        <w:rPr>
          <w:color w:val="000000" w:themeColor="text1"/>
          <w:sz w:val="22"/>
          <w:lang w:val="en-US"/>
        </w:rPr>
      </w:pPr>
      <w:r>
        <w:rPr>
          <w:color w:val="000000" w:themeColor="text1"/>
          <w:sz w:val="22"/>
          <w:lang w:val="en-US"/>
        </w:rPr>
        <w:t>On the other hand, th</w:t>
      </w:r>
      <w:r w:rsidRPr="005D5FF1">
        <w:rPr>
          <w:color w:val="000000" w:themeColor="text1"/>
          <w:sz w:val="22"/>
          <w:lang w:val="en-US"/>
        </w:rPr>
        <w:t>e level of interfering signals must be controlled by either:</w:t>
      </w:r>
    </w:p>
    <w:p w14:paraId="7E20A4E3" w14:textId="1F695D77" w:rsidR="006E36A6" w:rsidRDefault="006E36A6" w:rsidP="006E36A6">
      <w:pPr>
        <w:pStyle w:val="ListParagraph"/>
        <w:numPr>
          <w:ilvl w:val="0"/>
          <w:numId w:val="39"/>
        </w:numPr>
        <w:ind w:firstLineChars="0" w:firstLine="0"/>
        <w:jc w:val="both"/>
        <w:rPr>
          <w:color w:val="000000" w:themeColor="text1"/>
          <w:sz w:val="22"/>
          <w:lang w:val="en-US"/>
        </w:rPr>
      </w:pPr>
      <w:r w:rsidRPr="006E58C6">
        <w:rPr>
          <w:color w:val="000000" w:themeColor="text1"/>
          <w:sz w:val="22"/>
          <w:lang w:val="en-US"/>
        </w:rPr>
        <w:t xml:space="preserve">The spurious emission of the interfering system: In this case, different requirements such as Out of Band Unwanted Emission (OBUE) and Co-location / Co-siting, and their associated levels, are defined for different frequency bands. These requirements are defined to guarantee a correct performance of the system within defined limits </w:t>
      </w:r>
      <w:r w:rsidR="00282BAD">
        <w:rPr>
          <w:color w:val="000000" w:themeColor="text1"/>
          <w:sz w:val="22"/>
          <w:lang w:val="en-US"/>
        </w:rPr>
        <w:t>and</w:t>
      </w:r>
      <w:r w:rsidRPr="006E58C6">
        <w:rPr>
          <w:color w:val="000000" w:themeColor="text1"/>
          <w:sz w:val="22"/>
          <w:lang w:val="en-US"/>
        </w:rPr>
        <w:t xml:space="preserve"> its co-existence with other services while not interfering with high load scenarios and emergency communications.</w:t>
      </w:r>
    </w:p>
    <w:p w14:paraId="456296CB" w14:textId="77777777" w:rsidR="006E36A6" w:rsidRPr="006E58C6" w:rsidRDefault="006E36A6" w:rsidP="006E36A6">
      <w:pPr>
        <w:pStyle w:val="ListParagraph"/>
        <w:numPr>
          <w:ilvl w:val="0"/>
          <w:numId w:val="39"/>
        </w:numPr>
        <w:ind w:firstLineChars="0" w:firstLine="0"/>
        <w:jc w:val="both"/>
        <w:rPr>
          <w:color w:val="000000" w:themeColor="text1"/>
          <w:sz w:val="22"/>
          <w:lang w:val="en-US"/>
        </w:rPr>
      </w:pPr>
      <w:r w:rsidRPr="006E58C6">
        <w:rPr>
          <w:color w:val="000000" w:themeColor="text1"/>
          <w:sz w:val="22"/>
          <w:lang w:val="en-US"/>
        </w:rPr>
        <w:t>The blocking characteristics of the own system: From the own systems point of view the interfering signal through the antenna is equivalent to the blocking requirements given that:</w:t>
      </w:r>
    </w:p>
    <w:p w14:paraId="723FCD2C" w14:textId="77777777" w:rsidR="006E36A6" w:rsidRPr="006E58C6" w:rsidRDefault="006E36A6" w:rsidP="006E36A6">
      <w:pPr>
        <w:pStyle w:val="ListParagraph"/>
        <w:numPr>
          <w:ilvl w:val="0"/>
          <w:numId w:val="40"/>
        </w:numPr>
        <w:ind w:firstLineChars="0"/>
        <w:jc w:val="both"/>
        <w:rPr>
          <w:color w:val="000000" w:themeColor="text1"/>
          <w:sz w:val="22"/>
          <w:lang w:val="en-US"/>
        </w:rPr>
      </w:pPr>
      <w:r w:rsidRPr="006E58C6">
        <w:rPr>
          <w:color w:val="000000" w:themeColor="text1"/>
          <w:sz w:val="22"/>
          <w:lang w:val="en-US"/>
        </w:rPr>
        <w:lastRenderedPageBreak/>
        <w:t>The antenna is connected to the Radio. Note specifically that this is independent of how it is connected, i.e. via cable or directly.</w:t>
      </w:r>
    </w:p>
    <w:p w14:paraId="14AF129D" w14:textId="77777777" w:rsidR="006E36A6" w:rsidRPr="006E58C6" w:rsidRDefault="006E36A6" w:rsidP="006E36A6">
      <w:pPr>
        <w:pStyle w:val="ListParagraph"/>
        <w:numPr>
          <w:ilvl w:val="0"/>
          <w:numId w:val="40"/>
        </w:numPr>
        <w:ind w:firstLineChars="0"/>
        <w:jc w:val="both"/>
        <w:rPr>
          <w:color w:val="000000" w:themeColor="text1"/>
          <w:sz w:val="22"/>
          <w:lang w:val="en-US"/>
        </w:rPr>
      </w:pPr>
      <w:r w:rsidRPr="006E58C6">
        <w:rPr>
          <w:color w:val="000000" w:themeColor="text1"/>
          <w:sz w:val="22"/>
          <w:lang w:val="en-US"/>
        </w:rPr>
        <w:t>The signal is entered the Radio via the RF port.</w:t>
      </w:r>
    </w:p>
    <w:p w14:paraId="1B69CDCE" w14:textId="77777777" w:rsidR="006E36A6" w:rsidRDefault="006E36A6" w:rsidP="006E36A6">
      <w:pPr>
        <w:jc w:val="both"/>
        <w:rPr>
          <w:b/>
          <w:i/>
          <w:color w:val="000000" w:themeColor="text1"/>
          <w:sz w:val="22"/>
        </w:rPr>
      </w:pPr>
      <w:r>
        <w:rPr>
          <w:b/>
          <w:i/>
          <w:color w:val="000000" w:themeColor="text1"/>
          <w:sz w:val="22"/>
        </w:rPr>
        <w:t>Observation 7:</w:t>
      </w:r>
    </w:p>
    <w:p w14:paraId="66E1C4DE" w14:textId="4509173A" w:rsidR="006E36A6" w:rsidRDefault="006E36A6" w:rsidP="006E36A6">
      <w:pPr>
        <w:jc w:val="both"/>
        <w:rPr>
          <w:color w:val="000000" w:themeColor="text1"/>
          <w:sz w:val="22"/>
          <w:lang w:val="en-US"/>
        </w:rPr>
      </w:pPr>
      <w:r>
        <w:rPr>
          <w:color w:val="000000" w:themeColor="text1"/>
          <w:sz w:val="22"/>
        </w:rPr>
        <w:t xml:space="preserve">Radiated Immunity tests are complemented by the additional evaluation of different requirements such as </w:t>
      </w:r>
      <w:r w:rsidRPr="006E58C6">
        <w:rPr>
          <w:color w:val="000000" w:themeColor="text1"/>
          <w:sz w:val="22"/>
          <w:lang w:val="en-US"/>
        </w:rPr>
        <w:t>Out of Band Unwanted Emission (OBUE) and Co-location / Co-siting</w:t>
      </w:r>
      <w:r>
        <w:rPr>
          <w:color w:val="000000" w:themeColor="text1"/>
          <w:sz w:val="22"/>
          <w:lang w:val="en-US"/>
        </w:rPr>
        <w:t>, and blocking.</w:t>
      </w:r>
    </w:p>
    <w:p w14:paraId="030B6770" w14:textId="77777777" w:rsidR="00C03D8E" w:rsidRPr="002E57B8" w:rsidRDefault="00512090" w:rsidP="00C03D8E">
      <w:pPr>
        <w:pStyle w:val="Heading1"/>
      </w:pPr>
      <w:r>
        <w:t>Conclusion</w:t>
      </w:r>
    </w:p>
    <w:p w14:paraId="32AFAA4C" w14:textId="60D30810" w:rsidR="004C5A20" w:rsidRDefault="006E1FEB" w:rsidP="004C5A20">
      <w:pPr>
        <w:rPr>
          <w:sz w:val="22"/>
        </w:rPr>
      </w:pPr>
      <w:r>
        <w:rPr>
          <w:color w:val="000000" w:themeColor="text1"/>
          <w:sz w:val="22"/>
        </w:rPr>
        <w:t>The observations in Section 2 show that the OOB blocking limit is for many scenarios exceeded in a RI test. One solution to this issue may be to reduce the required number of angular incidences for radiated immunity testing of OTA AAS BS, i.e. omit the 90° case (front facing the interferer) when testing the frequency range &gt; 690 MHz and applying 10 V/m interferer level</w:t>
      </w:r>
      <w:r w:rsidR="00190C37">
        <w:rPr>
          <w:sz w:val="22"/>
          <w:lang w:val="en-US"/>
        </w:rPr>
        <w:t xml:space="preserve">Proposal 1: </w:t>
      </w:r>
      <w:r w:rsidR="004C5A20" w:rsidRPr="004C5A20">
        <w:rPr>
          <w:sz w:val="22"/>
        </w:rPr>
        <w:t xml:space="preserve">For OTA AAS BS the radiated immunity (RI) test need to be reduced to fewer angular incidences. The angular incidence where the front of the OTA AAS BS is facing the interferer range antenna need to be omitted. As presented in Figure </w:t>
      </w:r>
      <w:r w:rsidR="004D41E4">
        <w:rPr>
          <w:sz w:val="22"/>
        </w:rPr>
        <w:t>6.</w:t>
      </w:r>
    </w:p>
    <w:p w14:paraId="1824F569" w14:textId="3A5BB417" w:rsidR="004C5A20" w:rsidRPr="004C5A20" w:rsidRDefault="004C5A20" w:rsidP="004C5A20">
      <w:pPr>
        <w:rPr>
          <w:sz w:val="22"/>
        </w:rPr>
      </w:pPr>
    </w:p>
    <w:p w14:paraId="5CE781C7" w14:textId="77777777" w:rsidR="004C5A20" w:rsidRPr="004C5A20" w:rsidRDefault="004C5A20" w:rsidP="00E37AAD">
      <w:pPr>
        <w:jc w:val="center"/>
        <w:rPr>
          <w:sz w:val="22"/>
        </w:rPr>
      </w:pPr>
      <w:r w:rsidRPr="004C5A20">
        <w:rPr>
          <w:noProof/>
          <w:sz w:val="22"/>
        </w:rPr>
        <w:drawing>
          <wp:inline distT="0" distB="0" distL="0" distR="0" wp14:anchorId="6C4F15AC" wp14:editId="30FF6524">
            <wp:extent cx="4829175" cy="3153896"/>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atial exclusion.png"/>
                    <pic:cNvPicPr/>
                  </pic:nvPicPr>
                  <pic:blipFill>
                    <a:blip r:embed="rId13">
                      <a:extLst>
                        <a:ext uri="{28A0092B-C50C-407E-A947-70E740481C1C}">
                          <a14:useLocalDpi xmlns:a14="http://schemas.microsoft.com/office/drawing/2010/main" val="0"/>
                        </a:ext>
                      </a:extLst>
                    </a:blip>
                    <a:stretch>
                      <a:fillRect/>
                    </a:stretch>
                  </pic:blipFill>
                  <pic:spPr>
                    <a:xfrm>
                      <a:off x="0" y="0"/>
                      <a:ext cx="4832826" cy="3156280"/>
                    </a:xfrm>
                    <a:prstGeom prst="rect">
                      <a:avLst/>
                    </a:prstGeom>
                  </pic:spPr>
                </pic:pic>
              </a:graphicData>
            </a:graphic>
          </wp:inline>
        </w:drawing>
      </w:r>
    </w:p>
    <w:p w14:paraId="386A97D2" w14:textId="013D07AD" w:rsidR="004C5A20" w:rsidRPr="004C5A20" w:rsidRDefault="004C5A20" w:rsidP="00E37AAD">
      <w:pPr>
        <w:jc w:val="center"/>
        <w:rPr>
          <w:sz w:val="22"/>
          <w:lang w:val="en-US"/>
        </w:rPr>
      </w:pPr>
      <w:r w:rsidRPr="004C5A20">
        <w:rPr>
          <w:sz w:val="22"/>
          <w:lang w:val="en-US"/>
        </w:rPr>
        <w:t xml:space="preserve">Figure </w:t>
      </w:r>
      <w:r w:rsidR="004D41E4">
        <w:rPr>
          <w:sz w:val="22"/>
          <w:lang w:val="en-US"/>
        </w:rPr>
        <w:t>6</w:t>
      </w:r>
      <w:r w:rsidRPr="004C5A20">
        <w:rPr>
          <w:sz w:val="22"/>
          <w:lang w:val="en-US"/>
        </w:rPr>
        <w:t>. Definition of Front</w:t>
      </w:r>
      <w:r>
        <w:rPr>
          <w:sz w:val="22"/>
          <w:lang w:val="en-US"/>
        </w:rPr>
        <w:t xml:space="preserve"> Side during Radiated Immunity T</w:t>
      </w:r>
      <w:r w:rsidRPr="004C5A20">
        <w:rPr>
          <w:sz w:val="22"/>
          <w:lang w:val="en-US"/>
        </w:rPr>
        <w:t>est.</w:t>
      </w:r>
    </w:p>
    <w:p w14:paraId="05550C58" w14:textId="77777777" w:rsidR="005C1CC7" w:rsidRPr="00922B32" w:rsidRDefault="005C1CC7" w:rsidP="005C1CC7">
      <w:pPr>
        <w:jc w:val="both"/>
        <w:rPr>
          <w:sz w:val="22"/>
          <w:lang w:eastAsia="zh-CN"/>
        </w:rPr>
      </w:pPr>
      <w:r>
        <w:rPr>
          <w:color w:val="000000" w:themeColor="text1"/>
          <w:sz w:val="22"/>
          <w:lang w:val="en-US"/>
        </w:rPr>
        <w:t>Considering that IEC 61000-4-3 states that w</w:t>
      </w:r>
      <w:r w:rsidRPr="00922B32">
        <w:rPr>
          <w:color w:val="000000" w:themeColor="text1"/>
          <w:sz w:val="22"/>
          <w:lang w:val="en-US"/>
        </w:rPr>
        <w:t>hen technically justified, some EUTs can be tested by exposing fewer</w:t>
      </w:r>
      <w:r>
        <w:rPr>
          <w:color w:val="000000" w:themeColor="text1"/>
          <w:sz w:val="22"/>
          <w:lang w:val="en-US"/>
        </w:rPr>
        <w:t xml:space="preserve"> </w:t>
      </w:r>
      <w:r w:rsidRPr="00922B32">
        <w:rPr>
          <w:color w:val="000000" w:themeColor="text1"/>
          <w:sz w:val="22"/>
          <w:lang w:val="en-US"/>
        </w:rPr>
        <w:t>faces to the generating antenna</w:t>
      </w:r>
      <w:r>
        <w:rPr>
          <w:color w:val="000000" w:themeColor="text1"/>
          <w:sz w:val="22"/>
          <w:lang w:val="en-US"/>
        </w:rPr>
        <w:t>, it would be possible to consider excluding the front side of the antenna during RI tests. This exclusion does not imply a relaxation on the testing or the requirements, since there are additional mechanisms to guarantee the performance of the DUT fits within regulatory requirements while protecting other services.</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2" w:name="_Hlk489447754"/>
    </w:p>
    <w:bookmarkEnd w:id="2"/>
    <w:p w14:paraId="7AF3FBA9" w14:textId="77777777" w:rsidR="005501A4" w:rsidRPr="00350CEA" w:rsidRDefault="005501A4" w:rsidP="005501A4">
      <w:pPr>
        <w:pStyle w:val="a"/>
        <w:jc w:val="both"/>
        <w:rPr>
          <w:color w:val="000000" w:themeColor="text1"/>
          <w:lang w:eastAsia="zh-CN"/>
        </w:rPr>
      </w:pPr>
      <w:r>
        <w:rPr>
          <w:color w:val="000000" w:themeColor="text1"/>
          <w:lang w:val="en-US" w:eastAsia="zh-CN"/>
        </w:rPr>
        <w:t xml:space="preserve">R4-1706229, </w:t>
      </w:r>
      <w:r w:rsidRPr="00C939AC">
        <w:rPr>
          <w:color w:val="000000" w:themeColor="text1"/>
          <w:lang w:val="en-US" w:eastAsia="zh-CN"/>
        </w:rPr>
        <w:t>TP for TR 37.843 EMC immunity for OTA AAS BS – general Section</w:t>
      </w:r>
      <w:r>
        <w:rPr>
          <w:color w:val="000000" w:themeColor="text1"/>
          <w:lang w:val="en-US" w:eastAsia="zh-CN"/>
        </w:rPr>
        <w:t>, Ericsson, RAN4-#83.</w:t>
      </w:r>
    </w:p>
    <w:p w14:paraId="7D0A8644" w14:textId="77777777" w:rsidR="005501A4" w:rsidRPr="008F43CF" w:rsidRDefault="005501A4" w:rsidP="005501A4">
      <w:pPr>
        <w:pStyle w:val="a"/>
        <w:jc w:val="both"/>
        <w:rPr>
          <w:color w:val="000000" w:themeColor="text1"/>
          <w:lang w:eastAsia="zh-CN"/>
        </w:rPr>
      </w:pPr>
      <w:r>
        <w:rPr>
          <w:color w:val="000000" w:themeColor="text1"/>
          <w:lang w:val="en-US" w:eastAsia="zh-CN"/>
        </w:rPr>
        <w:t>R4-1707480, Discussion on RI testing of OTA AAS BS and the consequences for receiver blocking, Ericsson, RAN4-#84.</w:t>
      </w:r>
    </w:p>
    <w:p w14:paraId="17CDD2EB" w14:textId="72B869D3" w:rsidR="005501A4" w:rsidRPr="00E37AAD" w:rsidRDefault="005501A4" w:rsidP="005501A4">
      <w:pPr>
        <w:pStyle w:val="a"/>
        <w:jc w:val="both"/>
        <w:rPr>
          <w:color w:val="000000" w:themeColor="text1"/>
          <w:lang w:eastAsia="zh-CN"/>
        </w:rPr>
      </w:pPr>
      <w:r>
        <w:rPr>
          <w:color w:val="000000" w:themeColor="text1"/>
          <w:lang w:val="en-US" w:eastAsia="zh-CN"/>
        </w:rPr>
        <w:t>R4-</w:t>
      </w:r>
      <w:r w:rsidRPr="008F43CF">
        <w:rPr>
          <w:color w:val="000000" w:themeColor="text1"/>
          <w:lang w:val="en-US" w:eastAsia="zh-CN"/>
        </w:rPr>
        <w:t>1711806</w:t>
      </w:r>
      <w:r>
        <w:rPr>
          <w:color w:val="000000" w:themeColor="text1"/>
          <w:lang w:val="en-US" w:eastAsia="zh-CN"/>
        </w:rPr>
        <w:t xml:space="preserve">, </w:t>
      </w:r>
      <w:r w:rsidRPr="008F43CF">
        <w:rPr>
          <w:color w:val="000000" w:themeColor="text1"/>
          <w:lang w:val="en-US" w:eastAsia="zh-CN"/>
        </w:rPr>
        <w:t>Proposal on radiated immunity - exclusion band</w:t>
      </w:r>
      <w:r>
        <w:rPr>
          <w:color w:val="000000" w:themeColor="text1"/>
          <w:lang w:val="en-US" w:eastAsia="zh-CN"/>
        </w:rPr>
        <w:t>, Ericsson, RAN4-#84-Bis.</w:t>
      </w:r>
    </w:p>
    <w:p w14:paraId="3B6F666E" w14:textId="42A4FA07" w:rsidR="00A337ED" w:rsidRDefault="00205C26" w:rsidP="0060244E">
      <w:pPr>
        <w:pStyle w:val="a"/>
        <w:rPr>
          <w:lang w:eastAsia="zh-CN"/>
        </w:rPr>
      </w:pPr>
      <w:r w:rsidRPr="00241231">
        <w:rPr>
          <w:color w:val="000000" w:themeColor="text1"/>
          <w:lang w:eastAsia="zh-CN"/>
        </w:rPr>
        <w:t>IEC 61000-4-3</w:t>
      </w:r>
      <w:r>
        <w:rPr>
          <w:color w:val="000000" w:themeColor="text1"/>
          <w:lang w:eastAsia="zh-CN"/>
        </w:rPr>
        <w:t xml:space="preserve">, </w:t>
      </w:r>
      <w:r w:rsidRPr="00ED5300">
        <w:rPr>
          <w:color w:val="000000" w:themeColor="text1"/>
          <w:lang w:eastAsia="zh-CN"/>
        </w:rPr>
        <w:t>Electromagnetic compatibility (EMC) - Part 4-3: Testing and measurement techniques - Radiated, radio-frequency, electromagnetic field immunity test</w:t>
      </w:r>
      <w:r>
        <w:rPr>
          <w:color w:val="000000" w:themeColor="text1"/>
          <w:lang w:eastAsia="zh-CN"/>
        </w:rPr>
        <w:t>.</w:t>
      </w:r>
      <w:bookmarkStart w:id="3" w:name="_GoBack"/>
      <w:bookmarkEnd w:id="3"/>
      <w:r w:rsidR="0060244E">
        <w:rPr>
          <w:lang w:eastAsia="zh-CN"/>
        </w:rPr>
        <w:t xml:space="preserve"> </w:t>
      </w:r>
    </w:p>
    <w:sectPr w:rsidR="00A337E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D1005" w14:textId="77777777" w:rsidR="00002265" w:rsidRDefault="00002265">
      <w:r>
        <w:separator/>
      </w:r>
    </w:p>
  </w:endnote>
  <w:endnote w:type="continuationSeparator" w:id="0">
    <w:p w14:paraId="62604D07" w14:textId="77777777" w:rsidR="00002265" w:rsidRDefault="00002265">
      <w:r>
        <w:continuationSeparator/>
      </w:r>
    </w:p>
  </w:endnote>
  <w:endnote w:type="continuationNotice" w:id="1">
    <w:p w14:paraId="4DE8E8EA" w14:textId="77777777" w:rsidR="00002265" w:rsidRDefault="00002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DDD2A" w14:textId="77777777" w:rsidR="00002265" w:rsidRDefault="00002265">
      <w:r>
        <w:separator/>
      </w:r>
    </w:p>
  </w:footnote>
  <w:footnote w:type="continuationSeparator" w:id="0">
    <w:p w14:paraId="70489740" w14:textId="77777777" w:rsidR="00002265" w:rsidRDefault="00002265">
      <w:r>
        <w:continuationSeparator/>
      </w:r>
    </w:p>
  </w:footnote>
  <w:footnote w:type="continuationNotice" w:id="1">
    <w:p w14:paraId="32066E34" w14:textId="77777777" w:rsidR="00002265" w:rsidRDefault="000022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6F35"/>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hanbjo\Documents\RAN4%20meeting%20Berlin%20August%202017\new%20drafts\EMC%20Radiated%20Immunity%20Radiation%20Power%20Measurement.xl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hanbjo\Documents\RAN4%20meeting%20Berlin%20August%202017\new%20drafts\EMC%20Radiated%20Immunity%20Radiation%20Power%20Measurement.xl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10"/>
          <c:order val="0"/>
          <c:tx>
            <c:strRef>
              <c:f>'Power measurement results'!$R$1:$R$2</c:f>
              <c:strCache>
                <c:ptCount val="2"/>
                <c:pt idx="0">
                  <c:v>OOB blocking limit</c:v>
                </c:pt>
              </c:strCache>
            </c:strRef>
          </c:tx>
          <c:spPr>
            <a:ln w="31750" cap="rnd">
              <a:solidFill>
                <a:srgbClr val="FF0000"/>
              </a:solidFill>
              <a:round/>
            </a:ln>
            <a:effectLst/>
          </c:spPr>
          <c:marker>
            <c:symbol val="none"/>
          </c:marker>
          <c:cat>
            <c:numRef>
              <c:f>'Power measurement results'!$A$3:$A$74</c:f>
              <c:numCache>
                <c:formatCode>General</c:formatCode>
                <c:ptCount val="72"/>
                <c:pt idx="0">
                  <c:v>0</c:v>
                </c:pt>
                <c:pt idx="6">
                  <c:v>30</c:v>
                </c:pt>
                <c:pt idx="12">
                  <c:v>60</c:v>
                </c:pt>
                <c:pt idx="18">
                  <c:v>90</c:v>
                </c:pt>
                <c:pt idx="24">
                  <c:v>120</c:v>
                </c:pt>
                <c:pt idx="30">
                  <c:v>150</c:v>
                </c:pt>
                <c:pt idx="36">
                  <c:v>180</c:v>
                </c:pt>
                <c:pt idx="42">
                  <c:v>210</c:v>
                </c:pt>
                <c:pt idx="48">
                  <c:v>240</c:v>
                </c:pt>
                <c:pt idx="54">
                  <c:v>270</c:v>
                </c:pt>
                <c:pt idx="60">
                  <c:v>300</c:v>
                </c:pt>
                <c:pt idx="66">
                  <c:v>330</c:v>
                </c:pt>
              </c:numCache>
            </c:numRef>
          </c:cat>
          <c:val>
            <c:numRef>
              <c:f>'Power measurement results'!$R$3:$R$74</c:f>
              <c:numCache>
                <c:formatCode>General</c:formatCode>
                <c:ptCount val="72"/>
                <c:pt idx="0">
                  <c:v>-15</c:v>
                </c:pt>
                <c:pt idx="1">
                  <c:v>-15</c:v>
                </c:pt>
                <c:pt idx="2">
                  <c:v>-15</c:v>
                </c:pt>
                <c:pt idx="3">
                  <c:v>-15</c:v>
                </c:pt>
                <c:pt idx="4">
                  <c:v>-15</c:v>
                </c:pt>
                <c:pt idx="5">
                  <c:v>-15</c:v>
                </c:pt>
                <c:pt idx="6">
                  <c:v>-15</c:v>
                </c:pt>
                <c:pt idx="7">
                  <c:v>-15</c:v>
                </c:pt>
                <c:pt idx="8">
                  <c:v>-15</c:v>
                </c:pt>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pt idx="71">
                  <c:v>-15</c:v>
                </c:pt>
              </c:numCache>
            </c:numRef>
          </c:val>
          <c:extLst>
            <c:ext xmlns:c16="http://schemas.microsoft.com/office/drawing/2014/chart" uri="{C3380CC4-5D6E-409C-BE32-E72D297353CC}">
              <c16:uniqueId val="{00000000-FFC4-491D-A40D-825BC6F45C7C}"/>
            </c:ext>
          </c:extLst>
        </c:ser>
        <c:ser>
          <c:idx val="0"/>
          <c:order val="1"/>
          <c:tx>
            <c:strRef>
              <c:f>'Power measurement results'!$B$79</c:f>
              <c:strCache>
                <c:ptCount val="1"/>
                <c:pt idx="0">
                  <c:v>Vertically polarized range antenna</c:v>
                </c:pt>
              </c:strCache>
            </c:strRef>
          </c:tx>
          <c:spPr>
            <a:ln w="31750" cap="rnd">
              <a:solidFill>
                <a:schemeClr val="accent1"/>
              </a:solidFill>
              <a:round/>
            </a:ln>
            <a:effectLst/>
          </c:spPr>
          <c:marker>
            <c:symbol val="none"/>
          </c:marker>
          <c:val>
            <c:numRef>
              <c:f>'Power measurement results'!$B$80:$B$151</c:f>
              <c:numCache>
                <c:formatCode>General</c:formatCode>
                <c:ptCount val="72"/>
                <c:pt idx="0">
                  <c:v>-32.055787452803379</c:v>
                </c:pt>
                <c:pt idx="1">
                  <c:v>-32.705787452803378</c:v>
                </c:pt>
                <c:pt idx="2">
                  <c:v>-33.522787452803378</c:v>
                </c:pt>
                <c:pt idx="3">
                  <c:v>-33.451787452803373</c:v>
                </c:pt>
                <c:pt idx="4">
                  <c:v>-33.405787452803374</c:v>
                </c:pt>
                <c:pt idx="5">
                  <c:v>-32.714787452803378</c:v>
                </c:pt>
                <c:pt idx="6">
                  <c:v>-31.556787452803377</c:v>
                </c:pt>
                <c:pt idx="7">
                  <c:v>-30.191787452803375</c:v>
                </c:pt>
                <c:pt idx="8">
                  <c:v>-29.000787452803372</c:v>
                </c:pt>
                <c:pt idx="9">
                  <c:v>-27.705787452803378</c:v>
                </c:pt>
                <c:pt idx="10">
                  <c:v>-27.050787452803377</c:v>
                </c:pt>
                <c:pt idx="11">
                  <c:v>-26.529787452803376</c:v>
                </c:pt>
                <c:pt idx="12">
                  <c:v>-26.122787452803372</c:v>
                </c:pt>
                <c:pt idx="13">
                  <c:v>-26.000787452803372</c:v>
                </c:pt>
                <c:pt idx="14">
                  <c:v>-25.970787452803378</c:v>
                </c:pt>
                <c:pt idx="15">
                  <c:v>-25.924787452803379</c:v>
                </c:pt>
                <c:pt idx="16">
                  <c:v>-25.920787452803374</c:v>
                </c:pt>
                <c:pt idx="17">
                  <c:v>-25.932787452803375</c:v>
                </c:pt>
                <c:pt idx="18">
                  <c:v>-26.026787452803376</c:v>
                </c:pt>
                <c:pt idx="19">
                  <c:v>-26.041787452803376</c:v>
                </c:pt>
                <c:pt idx="20">
                  <c:v>-26.479787452803379</c:v>
                </c:pt>
                <c:pt idx="21">
                  <c:v>-26.959787452803376</c:v>
                </c:pt>
                <c:pt idx="22">
                  <c:v>-27.324787452803378</c:v>
                </c:pt>
                <c:pt idx="23">
                  <c:v>-28.029787452803376</c:v>
                </c:pt>
                <c:pt idx="24">
                  <c:v>-28.649787452803373</c:v>
                </c:pt>
                <c:pt idx="25">
                  <c:v>-29.344787452803374</c:v>
                </c:pt>
                <c:pt idx="26">
                  <c:v>-30.114787452803377</c:v>
                </c:pt>
                <c:pt idx="27">
                  <c:v>-30.849787452803376</c:v>
                </c:pt>
                <c:pt idx="28">
                  <c:v>-31.176787452803374</c:v>
                </c:pt>
                <c:pt idx="29">
                  <c:v>-31.398787452803376</c:v>
                </c:pt>
                <c:pt idx="30">
                  <c:v>-31.787787452803379</c:v>
                </c:pt>
                <c:pt idx="31">
                  <c:v>-31.669787452803376</c:v>
                </c:pt>
                <c:pt idx="32">
                  <c:v>-31.978787452803374</c:v>
                </c:pt>
                <c:pt idx="33">
                  <c:v>-31.040787452803379</c:v>
                </c:pt>
                <c:pt idx="34">
                  <c:v>-30.542787452803374</c:v>
                </c:pt>
                <c:pt idx="35">
                  <c:v>-30.494787452803372</c:v>
                </c:pt>
                <c:pt idx="36">
                  <c:v>-31.400787452803378</c:v>
                </c:pt>
                <c:pt idx="37">
                  <c:v>-35.700787452803375</c:v>
                </c:pt>
                <c:pt idx="38">
                  <c:v>-35.298787452803374</c:v>
                </c:pt>
                <c:pt idx="39">
                  <c:v>-33.803787452803377</c:v>
                </c:pt>
                <c:pt idx="40">
                  <c:v>-33.920787452803374</c:v>
                </c:pt>
                <c:pt idx="41">
                  <c:v>-33.697787452803375</c:v>
                </c:pt>
                <c:pt idx="42">
                  <c:v>-34.150787452803378</c:v>
                </c:pt>
                <c:pt idx="43">
                  <c:v>-35.087787452803376</c:v>
                </c:pt>
                <c:pt idx="44">
                  <c:v>-35.350787452803374</c:v>
                </c:pt>
                <c:pt idx="45">
                  <c:v>-35.129787452803377</c:v>
                </c:pt>
                <c:pt idx="46">
                  <c:v>-34.560787452803375</c:v>
                </c:pt>
                <c:pt idx="47">
                  <c:v>-34.522787452803378</c:v>
                </c:pt>
                <c:pt idx="48">
                  <c:v>-33.795787452803374</c:v>
                </c:pt>
                <c:pt idx="49">
                  <c:v>-34.143787452803373</c:v>
                </c:pt>
                <c:pt idx="50">
                  <c:v>-34.763787452803378</c:v>
                </c:pt>
                <c:pt idx="51">
                  <c:v>-35.675787452803377</c:v>
                </c:pt>
                <c:pt idx="52">
                  <c:v>-37.319787452803375</c:v>
                </c:pt>
                <c:pt idx="53">
                  <c:v>-38.606787452803374</c:v>
                </c:pt>
                <c:pt idx="54">
                  <c:v>-40.797787452803377</c:v>
                </c:pt>
                <c:pt idx="55">
                  <c:v>-42.359787452803374</c:v>
                </c:pt>
                <c:pt idx="56">
                  <c:v>-40.855787452803376</c:v>
                </c:pt>
                <c:pt idx="57">
                  <c:v>-39.653787452803371</c:v>
                </c:pt>
                <c:pt idx="58">
                  <c:v>-38.936787452803372</c:v>
                </c:pt>
                <c:pt idx="59">
                  <c:v>-38.427787452803372</c:v>
                </c:pt>
                <c:pt idx="60">
                  <c:v>-38.950787452803375</c:v>
                </c:pt>
                <c:pt idx="61">
                  <c:v>-39.444787452803375</c:v>
                </c:pt>
                <c:pt idx="62">
                  <c:v>-39.367787452803377</c:v>
                </c:pt>
                <c:pt idx="63">
                  <c:v>-37.591787452803374</c:v>
                </c:pt>
                <c:pt idx="64">
                  <c:v>-35.989787452803377</c:v>
                </c:pt>
                <c:pt idx="65">
                  <c:v>-34.198787452803373</c:v>
                </c:pt>
                <c:pt idx="66">
                  <c:v>-33.239787452803377</c:v>
                </c:pt>
                <c:pt idx="67">
                  <c:v>-32.614787452803377</c:v>
                </c:pt>
                <c:pt idx="68">
                  <c:v>-32.888787452803378</c:v>
                </c:pt>
                <c:pt idx="69">
                  <c:v>-33.468787452803376</c:v>
                </c:pt>
                <c:pt idx="70">
                  <c:v>-33.521787452803373</c:v>
                </c:pt>
                <c:pt idx="71">
                  <c:v>-34.071787452803378</c:v>
                </c:pt>
              </c:numCache>
            </c:numRef>
          </c:val>
          <c:extLst>
            <c:ext xmlns:c16="http://schemas.microsoft.com/office/drawing/2014/chart" uri="{C3380CC4-5D6E-409C-BE32-E72D297353CC}">
              <c16:uniqueId val="{00000001-FFC4-491D-A40D-825BC6F45C7C}"/>
            </c:ext>
          </c:extLst>
        </c:ser>
        <c:ser>
          <c:idx val="1"/>
          <c:order val="2"/>
          <c:tx>
            <c:strRef>
              <c:f>'Power measurement results'!$C$79</c:f>
              <c:strCache>
                <c:ptCount val="1"/>
                <c:pt idx="0">
                  <c:v>Horizontally polarized range antenna</c:v>
                </c:pt>
              </c:strCache>
            </c:strRef>
          </c:tx>
          <c:spPr>
            <a:ln w="31750" cap="rnd">
              <a:solidFill>
                <a:schemeClr val="accent2"/>
              </a:solidFill>
              <a:round/>
            </a:ln>
            <a:effectLst/>
          </c:spPr>
          <c:marker>
            <c:symbol val="none"/>
          </c:marker>
          <c:val>
            <c:numRef>
              <c:f>'Power measurement results'!$C$80:$C$151</c:f>
              <c:numCache>
                <c:formatCode>General</c:formatCode>
                <c:ptCount val="72"/>
                <c:pt idx="0">
                  <c:v>-30.683787452803372</c:v>
                </c:pt>
                <c:pt idx="1">
                  <c:v>-28.680787452803379</c:v>
                </c:pt>
                <c:pt idx="2">
                  <c:v>-27.257787452803377</c:v>
                </c:pt>
                <c:pt idx="3">
                  <c:v>-25.957787452803373</c:v>
                </c:pt>
                <c:pt idx="4">
                  <c:v>-25.022787452803378</c:v>
                </c:pt>
                <c:pt idx="5">
                  <c:v>-24.141787452803378</c:v>
                </c:pt>
                <c:pt idx="6">
                  <c:v>-23.445787452803373</c:v>
                </c:pt>
                <c:pt idx="7">
                  <c:v>-23.083787452803378</c:v>
                </c:pt>
                <c:pt idx="8">
                  <c:v>-22.552787452803379</c:v>
                </c:pt>
                <c:pt idx="9">
                  <c:v>-22.315787452803377</c:v>
                </c:pt>
                <c:pt idx="10">
                  <c:v>-21.902787452803373</c:v>
                </c:pt>
                <c:pt idx="11">
                  <c:v>-21.603787452803374</c:v>
                </c:pt>
                <c:pt idx="12">
                  <c:v>-21.356787452803374</c:v>
                </c:pt>
                <c:pt idx="13">
                  <c:v>-21.009787452803376</c:v>
                </c:pt>
                <c:pt idx="14">
                  <c:v>-21.035787452803376</c:v>
                </c:pt>
                <c:pt idx="15">
                  <c:v>-20.970787452803378</c:v>
                </c:pt>
                <c:pt idx="16">
                  <c:v>-20.872787452803376</c:v>
                </c:pt>
                <c:pt idx="17">
                  <c:v>-20.846787452803376</c:v>
                </c:pt>
                <c:pt idx="18">
                  <c:v>-20.895787452803376</c:v>
                </c:pt>
                <c:pt idx="19">
                  <c:v>-20.969787452803374</c:v>
                </c:pt>
                <c:pt idx="20">
                  <c:v>-21.048787452803374</c:v>
                </c:pt>
                <c:pt idx="21">
                  <c:v>-21.149787452803373</c:v>
                </c:pt>
                <c:pt idx="22">
                  <c:v>-21.479787452803379</c:v>
                </c:pt>
                <c:pt idx="23">
                  <c:v>-21.722787452803374</c:v>
                </c:pt>
                <c:pt idx="24">
                  <c:v>-22.143787452803373</c:v>
                </c:pt>
                <c:pt idx="25">
                  <c:v>-22.673787452803374</c:v>
                </c:pt>
                <c:pt idx="26">
                  <c:v>-23.395787452803376</c:v>
                </c:pt>
                <c:pt idx="27">
                  <c:v>-23.547787452803377</c:v>
                </c:pt>
                <c:pt idx="28">
                  <c:v>-24.129787452803377</c:v>
                </c:pt>
                <c:pt idx="29">
                  <c:v>-24.544787452803376</c:v>
                </c:pt>
                <c:pt idx="30">
                  <c:v>-25.435787452803375</c:v>
                </c:pt>
                <c:pt idx="31">
                  <c:v>-26.327787452803378</c:v>
                </c:pt>
                <c:pt idx="32">
                  <c:v>-27.262787452803373</c:v>
                </c:pt>
                <c:pt idx="33">
                  <c:v>-28.123787452803377</c:v>
                </c:pt>
                <c:pt idx="34">
                  <c:v>-28.841787452803374</c:v>
                </c:pt>
                <c:pt idx="35">
                  <c:v>-29.539787452803374</c:v>
                </c:pt>
                <c:pt idx="36">
                  <c:v>-30.307787452803375</c:v>
                </c:pt>
                <c:pt idx="37">
                  <c:v>-32.065787452803377</c:v>
                </c:pt>
                <c:pt idx="38">
                  <c:v>-32.733787452803377</c:v>
                </c:pt>
                <c:pt idx="39">
                  <c:v>-34.271787452803373</c:v>
                </c:pt>
                <c:pt idx="40">
                  <c:v>-35.404787452803376</c:v>
                </c:pt>
                <c:pt idx="41">
                  <c:v>-35.714787452803378</c:v>
                </c:pt>
                <c:pt idx="42">
                  <c:v>-37.227787452803376</c:v>
                </c:pt>
                <c:pt idx="43">
                  <c:v>-38.842787452803371</c:v>
                </c:pt>
                <c:pt idx="44">
                  <c:v>-39.994787452803372</c:v>
                </c:pt>
                <c:pt idx="45">
                  <c:v>-39.061787452803372</c:v>
                </c:pt>
                <c:pt idx="46">
                  <c:v>-35.592787452803378</c:v>
                </c:pt>
                <c:pt idx="47">
                  <c:v>-32.618787452803375</c:v>
                </c:pt>
                <c:pt idx="48">
                  <c:v>-31.061787452803372</c:v>
                </c:pt>
                <c:pt idx="49">
                  <c:v>-30.439787452803373</c:v>
                </c:pt>
                <c:pt idx="50">
                  <c:v>-30.399787452803373</c:v>
                </c:pt>
                <c:pt idx="51">
                  <c:v>-31.144787452803378</c:v>
                </c:pt>
                <c:pt idx="52">
                  <c:v>-30.541787452803376</c:v>
                </c:pt>
                <c:pt idx="53">
                  <c:v>-30.137787452803373</c:v>
                </c:pt>
                <c:pt idx="54">
                  <c:v>-29.758787452803375</c:v>
                </c:pt>
                <c:pt idx="55">
                  <c:v>-28.841787452803374</c:v>
                </c:pt>
                <c:pt idx="56">
                  <c:v>-28.229787452803379</c:v>
                </c:pt>
                <c:pt idx="57">
                  <c:v>-28.322787452803375</c:v>
                </c:pt>
                <c:pt idx="58">
                  <c:v>-27.336787452803378</c:v>
                </c:pt>
                <c:pt idx="59">
                  <c:v>-27.735787452803379</c:v>
                </c:pt>
                <c:pt idx="60">
                  <c:v>-27.185787452803375</c:v>
                </c:pt>
                <c:pt idx="61">
                  <c:v>-27.506787452803373</c:v>
                </c:pt>
                <c:pt idx="62">
                  <c:v>-28.748787452803377</c:v>
                </c:pt>
                <c:pt idx="63">
                  <c:v>-29.569787452803375</c:v>
                </c:pt>
                <c:pt idx="64">
                  <c:v>-31.030787452803374</c:v>
                </c:pt>
                <c:pt idx="65">
                  <c:v>-33.685787452803375</c:v>
                </c:pt>
                <c:pt idx="66">
                  <c:v>-39.195787452803373</c:v>
                </c:pt>
                <c:pt idx="67">
                  <c:v>-49.157787452803376</c:v>
                </c:pt>
                <c:pt idx="68">
                  <c:v>-38.421787452803372</c:v>
                </c:pt>
                <c:pt idx="69">
                  <c:v>-34.216787452803374</c:v>
                </c:pt>
                <c:pt idx="70">
                  <c:v>-30.935787452803375</c:v>
                </c:pt>
                <c:pt idx="71">
                  <c:v>-29.432787452803375</c:v>
                </c:pt>
              </c:numCache>
            </c:numRef>
          </c:val>
          <c:extLst>
            <c:ext xmlns:c16="http://schemas.microsoft.com/office/drawing/2014/chart" uri="{C3380CC4-5D6E-409C-BE32-E72D297353CC}">
              <c16:uniqueId val="{00000002-FFC4-491D-A40D-825BC6F45C7C}"/>
            </c:ext>
          </c:extLst>
        </c:ser>
        <c:ser>
          <c:idx val="2"/>
          <c:order val="3"/>
          <c:tx>
            <c:strRef>
              <c:f>'Power measurement results'!$F$79</c:f>
              <c:strCache>
                <c:ptCount val="1"/>
                <c:pt idx="0">
                  <c:v>Vertically polarized range antenna (45° tilted EUT)</c:v>
                </c:pt>
              </c:strCache>
            </c:strRef>
          </c:tx>
          <c:spPr>
            <a:ln w="31750" cap="rnd">
              <a:solidFill>
                <a:schemeClr val="accent3"/>
              </a:solidFill>
              <a:round/>
            </a:ln>
            <a:effectLst/>
          </c:spPr>
          <c:marker>
            <c:symbol val="none"/>
          </c:marker>
          <c:val>
            <c:numRef>
              <c:f>'Power measurement results'!$F$80:$F$116</c:f>
              <c:numCache>
                <c:formatCode>General</c:formatCode>
                <c:ptCount val="37"/>
                <c:pt idx="0">
                  <c:v>-35.875787452803372</c:v>
                </c:pt>
                <c:pt idx="1">
                  <c:v>-34.750787452803372</c:v>
                </c:pt>
                <c:pt idx="2">
                  <c:v>-33.655787452803374</c:v>
                </c:pt>
                <c:pt idx="3">
                  <c:v>-31.966787452803374</c:v>
                </c:pt>
                <c:pt idx="4">
                  <c:v>-30.546787452803379</c:v>
                </c:pt>
                <c:pt idx="5">
                  <c:v>-28.779787452803376</c:v>
                </c:pt>
                <c:pt idx="6">
                  <c:v>-27.347787452803374</c:v>
                </c:pt>
                <c:pt idx="7">
                  <c:v>-26.291787452803376</c:v>
                </c:pt>
                <c:pt idx="8">
                  <c:v>-25.317787452803373</c:v>
                </c:pt>
                <c:pt idx="9">
                  <c:v>-24.464787452803378</c:v>
                </c:pt>
                <c:pt idx="10">
                  <c:v>-23.730787452803376</c:v>
                </c:pt>
                <c:pt idx="11">
                  <c:v>-23.099787452803376</c:v>
                </c:pt>
                <c:pt idx="12">
                  <c:v>-22.682787452803375</c:v>
                </c:pt>
                <c:pt idx="13">
                  <c:v>-22.280787452803374</c:v>
                </c:pt>
                <c:pt idx="14">
                  <c:v>-21.906787452803378</c:v>
                </c:pt>
                <c:pt idx="15">
                  <c:v>-21.591787452803374</c:v>
                </c:pt>
                <c:pt idx="16">
                  <c:v>-21.423787452803374</c:v>
                </c:pt>
                <c:pt idx="17">
                  <c:v>-21.428787452803377</c:v>
                </c:pt>
                <c:pt idx="18">
                  <c:v>-21.600787452803374</c:v>
                </c:pt>
                <c:pt idx="19">
                  <c:v>-21.879787452803377</c:v>
                </c:pt>
                <c:pt idx="20">
                  <c:v>-22.306787452803377</c:v>
                </c:pt>
                <c:pt idx="21">
                  <c:v>-22.696787452803378</c:v>
                </c:pt>
                <c:pt idx="22">
                  <c:v>-23.062787452803377</c:v>
                </c:pt>
                <c:pt idx="23">
                  <c:v>-23.517787452803375</c:v>
                </c:pt>
                <c:pt idx="24">
                  <c:v>-24.095787452803378</c:v>
                </c:pt>
                <c:pt idx="25">
                  <c:v>-24.703787452803375</c:v>
                </c:pt>
                <c:pt idx="26">
                  <c:v>-25.305787452803379</c:v>
                </c:pt>
                <c:pt idx="27">
                  <c:v>-25.854787452803379</c:v>
                </c:pt>
                <c:pt idx="28">
                  <c:v>-26.960787452803373</c:v>
                </c:pt>
                <c:pt idx="29">
                  <c:v>-28.515787452803373</c:v>
                </c:pt>
                <c:pt idx="30">
                  <c:v>-29.815787452803377</c:v>
                </c:pt>
                <c:pt idx="31">
                  <c:v>-30.956787452803376</c:v>
                </c:pt>
                <c:pt idx="32">
                  <c:v>-32.065787452803377</c:v>
                </c:pt>
                <c:pt idx="33">
                  <c:v>-33.302787452803379</c:v>
                </c:pt>
                <c:pt idx="34">
                  <c:v>-35.801787452803374</c:v>
                </c:pt>
                <c:pt idx="35">
                  <c:v>-37.394787452803371</c:v>
                </c:pt>
                <c:pt idx="36">
                  <c:v>-39.399787452803373</c:v>
                </c:pt>
              </c:numCache>
            </c:numRef>
          </c:val>
          <c:extLst>
            <c:ext xmlns:c16="http://schemas.microsoft.com/office/drawing/2014/chart" uri="{C3380CC4-5D6E-409C-BE32-E72D297353CC}">
              <c16:uniqueId val="{00000003-FFC4-491D-A40D-825BC6F45C7C}"/>
            </c:ext>
          </c:extLst>
        </c:ser>
        <c:ser>
          <c:idx val="3"/>
          <c:order val="4"/>
          <c:tx>
            <c:strRef>
              <c:f>'Power measurement results'!$G$79</c:f>
              <c:strCache>
                <c:ptCount val="1"/>
                <c:pt idx="0">
                  <c:v>Horizontally polarized range antenna (45° tilted EUT)</c:v>
                </c:pt>
              </c:strCache>
            </c:strRef>
          </c:tx>
          <c:spPr>
            <a:ln w="31750" cap="rnd">
              <a:solidFill>
                <a:schemeClr val="accent4"/>
              </a:solidFill>
              <a:round/>
            </a:ln>
            <a:effectLst/>
          </c:spPr>
          <c:marker>
            <c:symbol val="none"/>
          </c:marker>
          <c:val>
            <c:numRef>
              <c:f>'Power measurement results'!$G$80:$G$116</c:f>
              <c:numCache>
                <c:formatCode>General</c:formatCode>
                <c:ptCount val="37"/>
                <c:pt idx="0">
                  <c:v>-30.329787452803373</c:v>
                </c:pt>
                <c:pt idx="1">
                  <c:v>-29.875787452803372</c:v>
                </c:pt>
                <c:pt idx="2">
                  <c:v>-29.644787452803378</c:v>
                </c:pt>
                <c:pt idx="3">
                  <c:v>-29.636787452803375</c:v>
                </c:pt>
                <c:pt idx="4">
                  <c:v>-29.808787452803372</c:v>
                </c:pt>
                <c:pt idx="5">
                  <c:v>-29.927787452803379</c:v>
                </c:pt>
                <c:pt idx="6">
                  <c:v>-29.789787452803374</c:v>
                </c:pt>
                <c:pt idx="7">
                  <c:v>-29.394787452803378</c:v>
                </c:pt>
                <c:pt idx="8">
                  <c:v>-28.973787452803379</c:v>
                </c:pt>
                <c:pt idx="9">
                  <c:v>-28.294787452803376</c:v>
                </c:pt>
                <c:pt idx="10">
                  <c:v>-27.415787452803379</c:v>
                </c:pt>
                <c:pt idx="11">
                  <c:v>-26.512787452803373</c:v>
                </c:pt>
                <c:pt idx="12">
                  <c:v>-25.787787452803379</c:v>
                </c:pt>
                <c:pt idx="13">
                  <c:v>-25.201787452803373</c:v>
                </c:pt>
                <c:pt idx="14">
                  <c:v>-24.837787452803376</c:v>
                </c:pt>
                <c:pt idx="15">
                  <c:v>-24.600787452803374</c:v>
                </c:pt>
                <c:pt idx="16">
                  <c:v>-24.409787452803378</c:v>
                </c:pt>
                <c:pt idx="17">
                  <c:v>-24.239787452803377</c:v>
                </c:pt>
                <c:pt idx="18">
                  <c:v>-24.404787452803376</c:v>
                </c:pt>
                <c:pt idx="19">
                  <c:v>-24.466787452803374</c:v>
                </c:pt>
                <c:pt idx="20">
                  <c:v>-24.712787452803376</c:v>
                </c:pt>
                <c:pt idx="21">
                  <c:v>-25.145787452803376</c:v>
                </c:pt>
                <c:pt idx="22">
                  <c:v>-25.566787452803375</c:v>
                </c:pt>
                <c:pt idx="23">
                  <c:v>-26.060787452803375</c:v>
                </c:pt>
                <c:pt idx="24">
                  <c:v>-26.697787452803375</c:v>
                </c:pt>
                <c:pt idx="25">
                  <c:v>-27.645787452803376</c:v>
                </c:pt>
                <c:pt idx="26">
                  <c:v>-28.649787452803373</c:v>
                </c:pt>
                <c:pt idx="27">
                  <c:v>-29.626787452803377</c:v>
                </c:pt>
                <c:pt idx="28">
                  <c:v>-30.783787452803374</c:v>
                </c:pt>
                <c:pt idx="29">
                  <c:v>-32.412787452803379</c:v>
                </c:pt>
                <c:pt idx="30">
                  <c:v>-34.672787452803377</c:v>
                </c:pt>
                <c:pt idx="31">
                  <c:v>-37.907787452803376</c:v>
                </c:pt>
                <c:pt idx="32">
                  <c:v>-42.662787452803371</c:v>
                </c:pt>
                <c:pt idx="33">
                  <c:v>-48.713787452803373</c:v>
                </c:pt>
                <c:pt idx="34">
                  <c:v>-44.194787452803375</c:v>
                </c:pt>
                <c:pt idx="35">
                  <c:v>-38.739787452803377</c:v>
                </c:pt>
                <c:pt idx="36">
                  <c:v>-34.310787452803375</c:v>
                </c:pt>
              </c:numCache>
            </c:numRef>
          </c:val>
          <c:extLst>
            <c:ext xmlns:c16="http://schemas.microsoft.com/office/drawing/2014/chart" uri="{C3380CC4-5D6E-409C-BE32-E72D297353CC}">
              <c16:uniqueId val="{00000004-FFC4-491D-A40D-825BC6F45C7C}"/>
            </c:ext>
          </c:extLst>
        </c:ser>
        <c:ser>
          <c:idx val="4"/>
          <c:order val="5"/>
          <c:tx>
            <c:strRef>
              <c:f>'Power measurement results'!$H$79</c:f>
              <c:strCache>
                <c:ptCount val="1"/>
                <c:pt idx="0">
                  <c:v>Horizontally polarized range antenna (EUT polarization comparison)_pol_1</c:v>
                </c:pt>
              </c:strCache>
            </c:strRef>
          </c:tx>
          <c:spPr>
            <a:ln w="31750" cap="rnd">
              <a:solidFill>
                <a:schemeClr val="accent5"/>
              </a:solidFill>
              <a:round/>
            </a:ln>
            <a:effectLst/>
          </c:spPr>
          <c:marker>
            <c:symbol val="none"/>
          </c:marker>
          <c:val>
            <c:numRef>
              <c:f>'Power measurement results'!$H$80:$H$116</c:f>
              <c:numCache>
                <c:formatCode>General</c:formatCode>
                <c:ptCount val="37"/>
                <c:pt idx="0">
                  <c:v>-34.719787452803374</c:v>
                </c:pt>
                <c:pt idx="1">
                  <c:v>-38.508787452803375</c:v>
                </c:pt>
                <c:pt idx="2">
                  <c:v>-44.145787452803376</c:v>
                </c:pt>
                <c:pt idx="3">
                  <c:v>-43.153787452803371</c:v>
                </c:pt>
                <c:pt idx="4">
                  <c:v>-37.348787452803371</c:v>
                </c:pt>
                <c:pt idx="5">
                  <c:v>-33.713787452803373</c:v>
                </c:pt>
                <c:pt idx="6">
                  <c:v>-31.405787452803374</c:v>
                </c:pt>
                <c:pt idx="7">
                  <c:v>-29.934787452803377</c:v>
                </c:pt>
                <c:pt idx="8">
                  <c:v>-28.725787452803374</c:v>
                </c:pt>
                <c:pt idx="9">
                  <c:v>-27.949787452803378</c:v>
                </c:pt>
                <c:pt idx="10">
                  <c:v>-27.375787452803372</c:v>
                </c:pt>
                <c:pt idx="11">
                  <c:v>-26.699787452803378</c:v>
                </c:pt>
                <c:pt idx="12">
                  <c:v>-26.041787452803376</c:v>
                </c:pt>
                <c:pt idx="13">
                  <c:v>-25.463787452803373</c:v>
                </c:pt>
                <c:pt idx="14">
                  <c:v>-25.022787452803378</c:v>
                </c:pt>
                <c:pt idx="15">
                  <c:v>-24.515787452803373</c:v>
                </c:pt>
                <c:pt idx="16">
                  <c:v>-24.095787452803378</c:v>
                </c:pt>
                <c:pt idx="17">
                  <c:v>-23.799787452803379</c:v>
                </c:pt>
                <c:pt idx="18">
                  <c:v>-23.477787452803376</c:v>
                </c:pt>
                <c:pt idx="19">
                  <c:v>-23.323787452803373</c:v>
                </c:pt>
                <c:pt idx="20">
                  <c:v>-23.206787452803376</c:v>
                </c:pt>
                <c:pt idx="21">
                  <c:v>-23.206787452803376</c:v>
                </c:pt>
                <c:pt idx="22">
                  <c:v>-23.003787452803373</c:v>
                </c:pt>
                <c:pt idx="23">
                  <c:v>-23.001787452803377</c:v>
                </c:pt>
                <c:pt idx="24">
                  <c:v>-22.985787452803379</c:v>
                </c:pt>
                <c:pt idx="25">
                  <c:v>-23.248787452803377</c:v>
                </c:pt>
                <c:pt idx="26">
                  <c:v>-23.480787452803376</c:v>
                </c:pt>
                <c:pt idx="27">
                  <c:v>-23.622787452803372</c:v>
                </c:pt>
                <c:pt idx="28">
                  <c:v>-23.488787452803379</c:v>
                </c:pt>
                <c:pt idx="29">
                  <c:v>-23.755787452803375</c:v>
                </c:pt>
                <c:pt idx="30">
                  <c:v>-23.980787452803376</c:v>
                </c:pt>
                <c:pt idx="31">
                  <c:v>-24.373787452803377</c:v>
                </c:pt>
                <c:pt idx="32">
                  <c:v>-24.901787452803376</c:v>
                </c:pt>
                <c:pt idx="33">
                  <c:v>-25.329787452803373</c:v>
                </c:pt>
                <c:pt idx="34">
                  <c:v>-25.852787452803376</c:v>
                </c:pt>
                <c:pt idx="35">
                  <c:v>-26.468787452803376</c:v>
                </c:pt>
                <c:pt idx="36">
                  <c:v>-27.188787452803375</c:v>
                </c:pt>
              </c:numCache>
            </c:numRef>
          </c:val>
          <c:extLst>
            <c:ext xmlns:c16="http://schemas.microsoft.com/office/drawing/2014/chart" uri="{C3380CC4-5D6E-409C-BE32-E72D297353CC}">
              <c16:uniqueId val="{00000005-FFC4-491D-A40D-825BC6F45C7C}"/>
            </c:ext>
          </c:extLst>
        </c:ser>
        <c:ser>
          <c:idx val="5"/>
          <c:order val="6"/>
          <c:tx>
            <c:strRef>
              <c:f>'Power measurement results'!$I$79</c:f>
              <c:strCache>
                <c:ptCount val="1"/>
                <c:pt idx="0">
                  <c:v>Horizontally polarized range antenna (EUT polarization comparison)_pol_2</c:v>
                </c:pt>
              </c:strCache>
            </c:strRef>
          </c:tx>
          <c:spPr>
            <a:ln w="31750" cap="rnd">
              <a:solidFill>
                <a:schemeClr val="accent6"/>
              </a:solidFill>
              <a:round/>
            </a:ln>
            <a:effectLst/>
          </c:spPr>
          <c:marker>
            <c:symbol val="none"/>
          </c:marker>
          <c:val>
            <c:numRef>
              <c:f>'Power measurement results'!$I$80:$I$116</c:f>
              <c:numCache>
                <c:formatCode>General</c:formatCode>
                <c:ptCount val="37"/>
                <c:pt idx="0">
                  <c:v>-27.471787452803376</c:v>
                </c:pt>
                <c:pt idx="1">
                  <c:v>-27.731787452803374</c:v>
                </c:pt>
                <c:pt idx="2">
                  <c:v>-27.396787452803373</c:v>
                </c:pt>
                <c:pt idx="3">
                  <c:v>-27.157787452803376</c:v>
                </c:pt>
                <c:pt idx="4">
                  <c:v>-26.747787452803372</c:v>
                </c:pt>
                <c:pt idx="5">
                  <c:v>-26.163787452803376</c:v>
                </c:pt>
                <c:pt idx="6">
                  <c:v>-25.733787452803377</c:v>
                </c:pt>
                <c:pt idx="7">
                  <c:v>-25.280787452803374</c:v>
                </c:pt>
                <c:pt idx="8">
                  <c:v>-24.812787452803377</c:v>
                </c:pt>
                <c:pt idx="9">
                  <c:v>-24.380787452803375</c:v>
                </c:pt>
                <c:pt idx="10">
                  <c:v>-24.098787452803379</c:v>
                </c:pt>
                <c:pt idx="11">
                  <c:v>-23.720787452803378</c:v>
                </c:pt>
                <c:pt idx="12">
                  <c:v>-23.350787452803374</c:v>
                </c:pt>
                <c:pt idx="13">
                  <c:v>-23.012787452803373</c:v>
                </c:pt>
                <c:pt idx="14">
                  <c:v>-22.683787452803372</c:v>
                </c:pt>
                <c:pt idx="15">
                  <c:v>-22.246787452803375</c:v>
                </c:pt>
                <c:pt idx="16">
                  <c:v>-22.003787452803373</c:v>
                </c:pt>
                <c:pt idx="17">
                  <c:v>-21.880787452803375</c:v>
                </c:pt>
                <c:pt idx="18">
                  <c:v>-21.863787452803379</c:v>
                </c:pt>
                <c:pt idx="19">
                  <c:v>-21.831787452803376</c:v>
                </c:pt>
                <c:pt idx="20">
                  <c:v>-21.784787452803378</c:v>
                </c:pt>
                <c:pt idx="21">
                  <c:v>-21.876787452803377</c:v>
                </c:pt>
                <c:pt idx="22">
                  <c:v>-21.937787452803377</c:v>
                </c:pt>
                <c:pt idx="23">
                  <c:v>-22.141787452803378</c:v>
                </c:pt>
                <c:pt idx="24">
                  <c:v>-22.060787452803375</c:v>
                </c:pt>
                <c:pt idx="25">
                  <c:v>-22.158787452803374</c:v>
                </c:pt>
                <c:pt idx="26">
                  <c:v>-22.206787452803376</c:v>
                </c:pt>
                <c:pt idx="27">
                  <c:v>-22.299787452803379</c:v>
                </c:pt>
                <c:pt idx="28">
                  <c:v>-22.668787452803379</c:v>
                </c:pt>
                <c:pt idx="29">
                  <c:v>-23.001787452803377</c:v>
                </c:pt>
                <c:pt idx="30">
                  <c:v>-23.511787452803375</c:v>
                </c:pt>
                <c:pt idx="31">
                  <c:v>-23.911787452803374</c:v>
                </c:pt>
                <c:pt idx="32">
                  <c:v>-24.457787452803373</c:v>
                </c:pt>
                <c:pt idx="33">
                  <c:v>-25.152787452803373</c:v>
                </c:pt>
                <c:pt idx="34">
                  <c:v>-25.858787452803377</c:v>
                </c:pt>
                <c:pt idx="35">
                  <c:v>-26.540787452803379</c:v>
                </c:pt>
                <c:pt idx="36">
                  <c:v>-27.162787452803379</c:v>
                </c:pt>
              </c:numCache>
            </c:numRef>
          </c:val>
          <c:extLst>
            <c:ext xmlns:c16="http://schemas.microsoft.com/office/drawing/2014/chart" uri="{C3380CC4-5D6E-409C-BE32-E72D297353CC}">
              <c16:uniqueId val="{00000006-FFC4-491D-A40D-825BC6F45C7C}"/>
            </c:ext>
          </c:extLst>
        </c:ser>
        <c:dLbls>
          <c:showLegendKey val="0"/>
          <c:showVal val="0"/>
          <c:showCatName val="0"/>
          <c:showSerName val="0"/>
          <c:showPercent val="0"/>
          <c:showBubbleSize val="0"/>
        </c:dLbls>
        <c:axId val="446686872"/>
        <c:axId val="446687200"/>
        <c:extLst/>
      </c:radarChart>
      <c:catAx>
        <c:axId val="44668687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7200"/>
        <c:crosses val="autoZero"/>
        <c:auto val="1"/>
        <c:lblAlgn val="ctr"/>
        <c:lblOffset val="100"/>
        <c:noMultiLvlLbl val="0"/>
      </c:catAx>
      <c:valAx>
        <c:axId val="446687200"/>
        <c:scaling>
          <c:orientation val="maxMin"/>
        </c:scaling>
        <c:delete val="0"/>
        <c:axPos val="l"/>
        <c:majorGridlines>
          <c:spPr>
            <a:ln w="9525" cap="flat" cmpd="sng" algn="ctr">
              <a:solidFill>
                <a:schemeClr val="tx2">
                  <a:lumMod val="60000"/>
                  <a:lumOff val="4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6872"/>
        <c:crosses val="autoZero"/>
        <c:crossBetween val="between"/>
      </c:valAx>
      <c:spPr>
        <a:noFill/>
        <a:ln>
          <a:noFill/>
        </a:ln>
        <a:effectLst/>
      </c:spPr>
    </c:plotArea>
    <c:legend>
      <c:legendPos val="l"/>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10"/>
          <c:order val="0"/>
          <c:tx>
            <c:strRef>
              <c:f>'Power measurement results'!$R$1:$R$2</c:f>
              <c:strCache>
                <c:ptCount val="2"/>
                <c:pt idx="0">
                  <c:v>OOB blocking limit</c:v>
                </c:pt>
              </c:strCache>
            </c:strRef>
          </c:tx>
          <c:spPr>
            <a:ln w="31750" cap="rnd">
              <a:solidFill>
                <a:srgbClr val="FF0000"/>
              </a:solidFill>
              <a:round/>
            </a:ln>
            <a:effectLst/>
          </c:spPr>
          <c:marker>
            <c:symbol val="none"/>
          </c:marker>
          <c:cat>
            <c:numRef>
              <c:f>'Power measurement results'!$A$3:$A$74</c:f>
              <c:numCache>
                <c:formatCode>General</c:formatCode>
                <c:ptCount val="72"/>
                <c:pt idx="0">
                  <c:v>0</c:v>
                </c:pt>
                <c:pt idx="6">
                  <c:v>30</c:v>
                </c:pt>
                <c:pt idx="12">
                  <c:v>60</c:v>
                </c:pt>
                <c:pt idx="18">
                  <c:v>90</c:v>
                </c:pt>
                <c:pt idx="24">
                  <c:v>120</c:v>
                </c:pt>
                <c:pt idx="30">
                  <c:v>150</c:v>
                </c:pt>
                <c:pt idx="36">
                  <c:v>180</c:v>
                </c:pt>
                <c:pt idx="42">
                  <c:v>210</c:v>
                </c:pt>
                <c:pt idx="48">
                  <c:v>240</c:v>
                </c:pt>
                <c:pt idx="54">
                  <c:v>270</c:v>
                </c:pt>
                <c:pt idx="60">
                  <c:v>300</c:v>
                </c:pt>
                <c:pt idx="66">
                  <c:v>330</c:v>
                </c:pt>
              </c:numCache>
            </c:numRef>
          </c:cat>
          <c:val>
            <c:numRef>
              <c:f>'Power measurement results'!$R$3:$R$74</c:f>
              <c:numCache>
                <c:formatCode>General</c:formatCode>
                <c:ptCount val="72"/>
                <c:pt idx="0">
                  <c:v>-15</c:v>
                </c:pt>
                <c:pt idx="1">
                  <c:v>-15</c:v>
                </c:pt>
                <c:pt idx="2">
                  <c:v>-15</c:v>
                </c:pt>
                <c:pt idx="3">
                  <c:v>-15</c:v>
                </c:pt>
                <c:pt idx="4">
                  <c:v>-15</c:v>
                </c:pt>
                <c:pt idx="5">
                  <c:v>-15</c:v>
                </c:pt>
                <c:pt idx="6">
                  <c:v>-15</c:v>
                </c:pt>
                <c:pt idx="7">
                  <c:v>-15</c:v>
                </c:pt>
                <c:pt idx="8">
                  <c:v>-15</c:v>
                </c:pt>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pt idx="71">
                  <c:v>-15</c:v>
                </c:pt>
              </c:numCache>
            </c:numRef>
          </c:val>
          <c:extLst>
            <c:ext xmlns:c16="http://schemas.microsoft.com/office/drawing/2014/chart" uri="{C3380CC4-5D6E-409C-BE32-E72D297353CC}">
              <c16:uniqueId val="{00000000-02CE-4EA3-8C45-F7F2EF9D3F7E}"/>
            </c:ext>
          </c:extLst>
        </c:ser>
        <c:ser>
          <c:idx val="0"/>
          <c:order val="1"/>
          <c:tx>
            <c:strRef>
              <c:f>'Power measurement results'!$K$2</c:f>
              <c:strCache>
                <c:ptCount val="1"/>
                <c:pt idx="0">
                  <c:v>Vertically polarized range antenna</c:v>
                </c:pt>
              </c:strCache>
            </c:strRef>
          </c:tx>
          <c:spPr>
            <a:ln w="31750" cap="rnd">
              <a:solidFill>
                <a:schemeClr val="accent1"/>
              </a:solidFill>
              <a:round/>
            </a:ln>
            <a:effectLst/>
          </c:spPr>
          <c:marker>
            <c:symbol val="none"/>
          </c:marker>
          <c:val>
            <c:numRef>
              <c:f>'Power measurement results'!$K$3:$K$74</c:f>
              <c:numCache>
                <c:formatCode>General</c:formatCode>
                <c:ptCount val="72"/>
                <c:pt idx="0">
                  <c:v>-16.135999999999999</c:v>
                </c:pt>
                <c:pt idx="1">
                  <c:v>-12.981999999999999</c:v>
                </c:pt>
                <c:pt idx="2">
                  <c:v>-10.624000000000001</c:v>
                </c:pt>
                <c:pt idx="3">
                  <c:v>-9.452</c:v>
                </c:pt>
                <c:pt idx="4">
                  <c:v>-8.4469999999999992</c:v>
                </c:pt>
                <c:pt idx="5">
                  <c:v>-6.9749999999999996</c:v>
                </c:pt>
                <c:pt idx="6">
                  <c:v>-5.6909999999999998</c:v>
                </c:pt>
                <c:pt idx="7">
                  <c:v>-4.6180000000000003</c:v>
                </c:pt>
                <c:pt idx="8">
                  <c:v>-3.758</c:v>
                </c:pt>
                <c:pt idx="9">
                  <c:v>-3.2370000000000001</c:v>
                </c:pt>
                <c:pt idx="10">
                  <c:v>-2.52</c:v>
                </c:pt>
                <c:pt idx="11">
                  <c:v>-1.8340000000000001</c:v>
                </c:pt>
                <c:pt idx="12">
                  <c:v>-1.167</c:v>
                </c:pt>
                <c:pt idx="13">
                  <c:v>-0.92300000000000004</c:v>
                </c:pt>
                <c:pt idx="14">
                  <c:v>-0.71199999999999997</c:v>
                </c:pt>
                <c:pt idx="15">
                  <c:v>-0.628</c:v>
                </c:pt>
                <c:pt idx="16">
                  <c:v>-0.378</c:v>
                </c:pt>
                <c:pt idx="17">
                  <c:v>-0.30299999999999999</c:v>
                </c:pt>
                <c:pt idx="18">
                  <c:v>-0.28000000000000003</c:v>
                </c:pt>
                <c:pt idx="19">
                  <c:v>-0.33900000000000002</c:v>
                </c:pt>
                <c:pt idx="20">
                  <c:v>-0.71799999999999997</c:v>
                </c:pt>
                <c:pt idx="21">
                  <c:v>-1.381</c:v>
                </c:pt>
                <c:pt idx="22">
                  <c:v>-2.081</c:v>
                </c:pt>
                <c:pt idx="23">
                  <c:v>-3.081</c:v>
                </c:pt>
                <c:pt idx="24">
                  <c:v>-4.5149999999999997</c:v>
                </c:pt>
                <c:pt idx="25">
                  <c:v>-6.49</c:v>
                </c:pt>
                <c:pt idx="26">
                  <c:v>-8.5500000000000007</c:v>
                </c:pt>
                <c:pt idx="27">
                  <c:v>-11.019</c:v>
                </c:pt>
                <c:pt idx="28">
                  <c:v>-13.898</c:v>
                </c:pt>
                <c:pt idx="29">
                  <c:v>-14.928000000000001</c:v>
                </c:pt>
                <c:pt idx="30">
                  <c:v>-13.404</c:v>
                </c:pt>
                <c:pt idx="31">
                  <c:v>-12.157</c:v>
                </c:pt>
                <c:pt idx="32">
                  <c:v>-12.205</c:v>
                </c:pt>
                <c:pt idx="33">
                  <c:v>-13.754</c:v>
                </c:pt>
                <c:pt idx="34">
                  <c:v>-17.669</c:v>
                </c:pt>
                <c:pt idx="35">
                  <c:v>-32.354999999999997</c:v>
                </c:pt>
                <c:pt idx="36">
                  <c:v>-26.039000000000001</c:v>
                </c:pt>
                <c:pt idx="37">
                  <c:v>-27.768999999999998</c:v>
                </c:pt>
                <c:pt idx="38">
                  <c:v>-28.579000000000001</c:v>
                </c:pt>
                <c:pt idx="39">
                  <c:v>-25.547999999999998</c:v>
                </c:pt>
                <c:pt idx="40">
                  <c:v>-26.69</c:v>
                </c:pt>
                <c:pt idx="41">
                  <c:v>-28.75</c:v>
                </c:pt>
                <c:pt idx="42">
                  <c:v>-35.298999999999999</c:v>
                </c:pt>
                <c:pt idx="43">
                  <c:v>-40.97</c:v>
                </c:pt>
                <c:pt idx="44">
                  <c:v>-29.425999999999998</c:v>
                </c:pt>
                <c:pt idx="45">
                  <c:v>-21.992000000000001</c:v>
                </c:pt>
                <c:pt idx="46">
                  <c:v>-18.7</c:v>
                </c:pt>
                <c:pt idx="47">
                  <c:v>-16.948</c:v>
                </c:pt>
                <c:pt idx="48">
                  <c:v>-16.155999999999999</c:v>
                </c:pt>
                <c:pt idx="49">
                  <c:v>-15.558</c:v>
                </c:pt>
                <c:pt idx="50">
                  <c:v>-14.926</c:v>
                </c:pt>
                <c:pt idx="51">
                  <c:v>-14.519</c:v>
                </c:pt>
                <c:pt idx="52">
                  <c:v>-15.97</c:v>
                </c:pt>
                <c:pt idx="53">
                  <c:v>-18.963000000000001</c:v>
                </c:pt>
                <c:pt idx="54">
                  <c:v>-22.413</c:v>
                </c:pt>
                <c:pt idx="55">
                  <c:v>-26.693999999999999</c:v>
                </c:pt>
                <c:pt idx="56">
                  <c:v>-26.945</c:v>
                </c:pt>
                <c:pt idx="57">
                  <c:v>-26.408999999999999</c:v>
                </c:pt>
                <c:pt idx="58">
                  <c:v>-25.798999999999999</c:v>
                </c:pt>
                <c:pt idx="59">
                  <c:v>-23.285</c:v>
                </c:pt>
                <c:pt idx="60">
                  <c:v>-22.08</c:v>
                </c:pt>
                <c:pt idx="61">
                  <c:v>-25.225999999999999</c:v>
                </c:pt>
                <c:pt idx="62">
                  <c:v>-26.652000000000001</c:v>
                </c:pt>
                <c:pt idx="63">
                  <c:v>-24.762</c:v>
                </c:pt>
                <c:pt idx="64">
                  <c:v>-23.241</c:v>
                </c:pt>
                <c:pt idx="65">
                  <c:v>-24.282</c:v>
                </c:pt>
                <c:pt idx="66">
                  <c:v>-26.899000000000001</c:v>
                </c:pt>
                <c:pt idx="67">
                  <c:v>-27.631</c:v>
                </c:pt>
                <c:pt idx="68">
                  <c:v>-26.86</c:v>
                </c:pt>
                <c:pt idx="69">
                  <c:v>-29.266999999999999</c:v>
                </c:pt>
                <c:pt idx="70">
                  <c:v>-30.337</c:v>
                </c:pt>
                <c:pt idx="71">
                  <c:v>-24.920999999999999</c:v>
                </c:pt>
              </c:numCache>
            </c:numRef>
          </c:val>
          <c:extLst>
            <c:ext xmlns:c16="http://schemas.microsoft.com/office/drawing/2014/chart" uri="{C3380CC4-5D6E-409C-BE32-E72D297353CC}">
              <c16:uniqueId val="{00000001-02CE-4EA3-8C45-F7F2EF9D3F7E}"/>
            </c:ext>
          </c:extLst>
        </c:ser>
        <c:ser>
          <c:idx val="1"/>
          <c:order val="2"/>
          <c:tx>
            <c:strRef>
              <c:f>'Power measurement results'!$L$2</c:f>
              <c:strCache>
                <c:ptCount val="1"/>
                <c:pt idx="0">
                  <c:v>Horizontally polarized range antenna</c:v>
                </c:pt>
              </c:strCache>
            </c:strRef>
          </c:tx>
          <c:spPr>
            <a:ln w="31750" cap="rnd">
              <a:solidFill>
                <a:schemeClr val="accent2"/>
              </a:solidFill>
              <a:round/>
            </a:ln>
            <a:effectLst/>
          </c:spPr>
          <c:marker>
            <c:symbol val="none"/>
          </c:marker>
          <c:val>
            <c:numRef>
              <c:f>'Power measurement results'!$L$3:$L$74</c:f>
              <c:numCache>
                <c:formatCode>General</c:formatCode>
                <c:ptCount val="72"/>
                <c:pt idx="0">
                  <c:v>-7.6890000000000001</c:v>
                </c:pt>
                <c:pt idx="1">
                  <c:v>-7.8620000000000001</c:v>
                </c:pt>
                <c:pt idx="2">
                  <c:v>-6.5750000000000002</c:v>
                </c:pt>
                <c:pt idx="3">
                  <c:v>-4.9109999999999996</c:v>
                </c:pt>
                <c:pt idx="4">
                  <c:v>-3.6539999999999999</c:v>
                </c:pt>
                <c:pt idx="5">
                  <c:v>-3.1760000000000002</c:v>
                </c:pt>
                <c:pt idx="6">
                  <c:v>-2.9950000000000001</c:v>
                </c:pt>
                <c:pt idx="7">
                  <c:v>-2.512</c:v>
                </c:pt>
                <c:pt idx="8">
                  <c:v>-1.421</c:v>
                </c:pt>
                <c:pt idx="9">
                  <c:v>-0.71399999999999997</c:v>
                </c:pt>
                <c:pt idx="10">
                  <c:v>-0.19900000000000001</c:v>
                </c:pt>
                <c:pt idx="11">
                  <c:v>0.45100000000000001</c:v>
                </c:pt>
                <c:pt idx="12">
                  <c:v>1.3660000000000001</c:v>
                </c:pt>
                <c:pt idx="13">
                  <c:v>2.4169999999999998</c:v>
                </c:pt>
                <c:pt idx="14">
                  <c:v>3.173</c:v>
                </c:pt>
                <c:pt idx="15">
                  <c:v>3.7440000000000002</c:v>
                </c:pt>
                <c:pt idx="16">
                  <c:v>4.0010000000000003</c:v>
                </c:pt>
                <c:pt idx="17">
                  <c:v>4.1159999999999997</c:v>
                </c:pt>
                <c:pt idx="18">
                  <c:v>3.956</c:v>
                </c:pt>
                <c:pt idx="19">
                  <c:v>3.5750000000000002</c:v>
                </c:pt>
                <c:pt idx="20">
                  <c:v>3.2440000000000002</c:v>
                </c:pt>
                <c:pt idx="21">
                  <c:v>3.1160000000000001</c:v>
                </c:pt>
                <c:pt idx="22">
                  <c:v>3.2839999999999998</c:v>
                </c:pt>
                <c:pt idx="23">
                  <c:v>3.29</c:v>
                </c:pt>
                <c:pt idx="24">
                  <c:v>3.1669999999999998</c:v>
                </c:pt>
                <c:pt idx="25">
                  <c:v>2.8479999999999999</c:v>
                </c:pt>
                <c:pt idx="26">
                  <c:v>2.2469999999999999</c:v>
                </c:pt>
                <c:pt idx="27">
                  <c:v>1.591</c:v>
                </c:pt>
                <c:pt idx="28">
                  <c:v>0.68500000000000005</c:v>
                </c:pt>
                <c:pt idx="29">
                  <c:v>-0.377</c:v>
                </c:pt>
                <c:pt idx="30">
                  <c:v>-1.9630000000000001</c:v>
                </c:pt>
                <c:pt idx="31">
                  <c:v>-3.883</c:v>
                </c:pt>
                <c:pt idx="32">
                  <c:v>-5.1840000000000002</c:v>
                </c:pt>
                <c:pt idx="33">
                  <c:v>-6.19</c:v>
                </c:pt>
                <c:pt idx="34">
                  <c:v>-7.5919999999999996</c:v>
                </c:pt>
                <c:pt idx="35">
                  <c:v>-9.4280000000000008</c:v>
                </c:pt>
                <c:pt idx="36">
                  <c:v>-10.548</c:v>
                </c:pt>
                <c:pt idx="37">
                  <c:v>-12.012</c:v>
                </c:pt>
                <c:pt idx="38">
                  <c:v>-18.045999999999999</c:v>
                </c:pt>
                <c:pt idx="39">
                  <c:v>-15.888</c:v>
                </c:pt>
                <c:pt idx="40">
                  <c:v>-13.593999999999999</c:v>
                </c:pt>
                <c:pt idx="41">
                  <c:v>-15.114000000000001</c:v>
                </c:pt>
                <c:pt idx="42">
                  <c:v>-24.452999999999999</c:v>
                </c:pt>
                <c:pt idx="43">
                  <c:v>-23.402000000000001</c:v>
                </c:pt>
                <c:pt idx="44">
                  <c:v>-16.173999999999999</c:v>
                </c:pt>
                <c:pt idx="45">
                  <c:v>-15.798999999999999</c:v>
                </c:pt>
                <c:pt idx="46">
                  <c:v>-19.613</c:v>
                </c:pt>
                <c:pt idx="47">
                  <c:v>-31.23</c:v>
                </c:pt>
                <c:pt idx="48">
                  <c:v>-28.562999999999999</c:v>
                </c:pt>
                <c:pt idx="49">
                  <c:v>-23.734999999999999</c:v>
                </c:pt>
                <c:pt idx="50">
                  <c:v>-22.8</c:v>
                </c:pt>
                <c:pt idx="51">
                  <c:v>-23.832999999999998</c:v>
                </c:pt>
                <c:pt idx="52">
                  <c:v>-29.218</c:v>
                </c:pt>
                <c:pt idx="53">
                  <c:v>-32.628999999999998</c:v>
                </c:pt>
                <c:pt idx="54">
                  <c:v>-22.35</c:v>
                </c:pt>
                <c:pt idx="55">
                  <c:v>-19.45</c:v>
                </c:pt>
                <c:pt idx="56">
                  <c:v>-18.584</c:v>
                </c:pt>
                <c:pt idx="57">
                  <c:v>-17.565000000000001</c:v>
                </c:pt>
                <c:pt idx="58">
                  <c:v>-18.190000000000001</c:v>
                </c:pt>
                <c:pt idx="59">
                  <c:v>-21.122</c:v>
                </c:pt>
                <c:pt idx="60">
                  <c:v>-30.603000000000002</c:v>
                </c:pt>
                <c:pt idx="61">
                  <c:v>-36.659999999999997</c:v>
                </c:pt>
                <c:pt idx="62">
                  <c:v>-28.86</c:v>
                </c:pt>
                <c:pt idx="63">
                  <c:v>-24.210999999999999</c:v>
                </c:pt>
                <c:pt idx="64">
                  <c:v>-22.305</c:v>
                </c:pt>
                <c:pt idx="65">
                  <c:v>-23.155999999999999</c:v>
                </c:pt>
                <c:pt idx="66">
                  <c:v>-27.251999999999999</c:v>
                </c:pt>
                <c:pt idx="67">
                  <c:v>-27.533000000000001</c:v>
                </c:pt>
                <c:pt idx="68">
                  <c:v>-19.161999999999999</c:v>
                </c:pt>
                <c:pt idx="69">
                  <c:v>-16.405999999999999</c:v>
                </c:pt>
                <c:pt idx="70">
                  <c:v>-16.957000000000001</c:v>
                </c:pt>
                <c:pt idx="71">
                  <c:v>-15.91</c:v>
                </c:pt>
              </c:numCache>
            </c:numRef>
          </c:val>
          <c:extLst>
            <c:ext xmlns:c16="http://schemas.microsoft.com/office/drawing/2014/chart" uri="{C3380CC4-5D6E-409C-BE32-E72D297353CC}">
              <c16:uniqueId val="{00000002-02CE-4EA3-8C45-F7F2EF9D3F7E}"/>
            </c:ext>
          </c:extLst>
        </c:ser>
        <c:ser>
          <c:idx val="2"/>
          <c:order val="3"/>
          <c:tx>
            <c:strRef>
              <c:f>'Power measurement results'!$O$2</c:f>
              <c:strCache>
                <c:ptCount val="1"/>
                <c:pt idx="0">
                  <c:v>Vertically polarized range antenna (45° tilted EUT)</c:v>
                </c:pt>
              </c:strCache>
            </c:strRef>
          </c:tx>
          <c:spPr>
            <a:ln w="31750" cap="rnd">
              <a:solidFill>
                <a:schemeClr val="accent3"/>
              </a:solidFill>
              <a:round/>
            </a:ln>
            <a:effectLst/>
          </c:spPr>
          <c:marker>
            <c:symbol val="none"/>
          </c:marker>
          <c:val>
            <c:numRef>
              <c:f>'Power measurement results'!$O$3:$O$39</c:f>
              <c:numCache>
                <c:formatCode>General</c:formatCode>
                <c:ptCount val="37"/>
                <c:pt idx="0">
                  <c:v>-11.606</c:v>
                </c:pt>
                <c:pt idx="1">
                  <c:v>-11.798999999999999</c:v>
                </c:pt>
                <c:pt idx="2">
                  <c:v>-10.648999999999999</c:v>
                </c:pt>
                <c:pt idx="3">
                  <c:v>-11.444000000000001</c:v>
                </c:pt>
                <c:pt idx="4">
                  <c:v>-13.157</c:v>
                </c:pt>
                <c:pt idx="5">
                  <c:v>-14.6</c:v>
                </c:pt>
                <c:pt idx="6">
                  <c:v>-15.335000000000001</c:v>
                </c:pt>
                <c:pt idx="7">
                  <c:v>-12.273999999999999</c:v>
                </c:pt>
                <c:pt idx="8">
                  <c:v>-7.9770000000000003</c:v>
                </c:pt>
                <c:pt idx="9">
                  <c:v>-5.0490000000000004</c:v>
                </c:pt>
                <c:pt idx="10">
                  <c:v>-2.8980000000000001</c:v>
                </c:pt>
                <c:pt idx="11">
                  <c:v>-1.0940000000000001</c:v>
                </c:pt>
                <c:pt idx="12">
                  <c:v>-0.109</c:v>
                </c:pt>
                <c:pt idx="13">
                  <c:v>1.012</c:v>
                </c:pt>
                <c:pt idx="14">
                  <c:v>2.4710000000000001</c:v>
                </c:pt>
                <c:pt idx="15">
                  <c:v>3.78</c:v>
                </c:pt>
                <c:pt idx="16">
                  <c:v>4.6319999999999997</c:v>
                </c:pt>
                <c:pt idx="17">
                  <c:v>5.5019999999999998</c:v>
                </c:pt>
                <c:pt idx="18">
                  <c:v>5.9210000000000003</c:v>
                </c:pt>
                <c:pt idx="19">
                  <c:v>5.8150000000000004</c:v>
                </c:pt>
                <c:pt idx="20">
                  <c:v>5.7169999999999996</c:v>
                </c:pt>
                <c:pt idx="21">
                  <c:v>5.8540000000000001</c:v>
                </c:pt>
                <c:pt idx="22">
                  <c:v>5.992</c:v>
                </c:pt>
                <c:pt idx="23">
                  <c:v>5.6429999999999998</c:v>
                </c:pt>
                <c:pt idx="24">
                  <c:v>4.6840000000000002</c:v>
                </c:pt>
                <c:pt idx="25">
                  <c:v>3.1120000000000001</c:v>
                </c:pt>
                <c:pt idx="26">
                  <c:v>1.238</c:v>
                </c:pt>
                <c:pt idx="27">
                  <c:v>-0.26100000000000001</c:v>
                </c:pt>
                <c:pt idx="28">
                  <c:v>-0.93400000000000005</c:v>
                </c:pt>
                <c:pt idx="29">
                  <c:v>-1.296</c:v>
                </c:pt>
                <c:pt idx="30">
                  <c:v>-1.891</c:v>
                </c:pt>
                <c:pt idx="31">
                  <c:v>-3.6070000000000002</c:v>
                </c:pt>
                <c:pt idx="32">
                  <c:v>-5.6509999999999998</c:v>
                </c:pt>
                <c:pt idx="33">
                  <c:v>-8.5510000000000002</c:v>
                </c:pt>
                <c:pt idx="34">
                  <c:v>-11.823</c:v>
                </c:pt>
                <c:pt idx="35">
                  <c:v>-18.920000000000002</c:v>
                </c:pt>
                <c:pt idx="36">
                  <c:v>-24.007000000000001</c:v>
                </c:pt>
              </c:numCache>
            </c:numRef>
          </c:val>
          <c:extLst>
            <c:ext xmlns:c16="http://schemas.microsoft.com/office/drawing/2014/chart" uri="{C3380CC4-5D6E-409C-BE32-E72D297353CC}">
              <c16:uniqueId val="{00000003-02CE-4EA3-8C45-F7F2EF9D3F7E}"/>
            </c:ext>
          </c:extLst>
        </c:ser>
        <c:ser>
          <c:idx val="3"/>
          <c:order val="4"/>
          <c:tx>
            <c:strRef>
              <c:f>'Power measurement results'!$P$2</c:f>
              <c:strCache>
                <c:ptCount val="1"/>
                <c:pt idx="0">
                  <c:v>Horizontally polarized range antenna (45° tilted EUT)</c:v>
                </c:pt>
              </c:strCache>
            </c:strRef>
          </c:tx>
          <c:spPr>
            <a:ln w="31750" cap="rnd">
              <a:solidFill>
                <a:schemeClr val="accent4"/>
              </a:solidFill>
              <a:round/>
            </a:ln>
            <a:effectLst/>
          </c:spPr>
          <c:marker>
            <c:symbol val="none"/>
          </c:marker>
          <c:val>
            <c:numRef>
              <c:f>'Power measurement results'!$P$3:$P$39</c:f>
              <c:numCache>
                <c:formatCode>General</c:formatCode>
                <c:ptCount val="37"/>
                <c:pt idx="0">
                  <c:v>-21.895</c:v>
                </c:pt>
                <c:pt idx="1">
                  <c:v>-21.603000000000002</c:v>
                </c:pt>
                <c:pt idx="2">
                  <c:v>-21.645</c:v>
                </c:pt>
                <c:pt idx="3">
                  <c:v>-19.059999999999999</c:v>
                </c:pt>
                <c:pt idx="4">
                  <c:v>-17.327999999999999</c:v>
                </c:pt>
                <c:pt idx="5">
                  <c:v>-18.771999999999998</c:v>
                </c:pt>
                <c:pt idx="6">
                  <c:v>-25.818000000000001</c:v>
                </c:pt>
                <c:pt idx="7">
                  <c:v>-40.265999999999998</c:v>
                </c:pt>
                <c:pt idx="8">
                  <c:v>-31.382000000000001</c:v>
                </c:pt>
                <c:pt idx="9">
                  <c:v>-44.134999999999998</c:v>
                </c:pt>
                <c:pt idx="10">
                  <c:v>-22.943000000000001</c:v>
                </c:pt>
                <c:pt idx="11">
                  <c:v>-17.867999999999999</c:v>
                </c:pt>
                <c:pt idx="12">
                  <c:v>-18.446000000000002</c:v>
                </c:pt>
                <c:pt idx="13">
                  <c:v>-18.32</c:v>
                </c:pt>
                <c:pt idx="14">
                  <c:v>-11.973000000000001</c:v>
                </c:pt>
                <c:pt idx="15">
                  <c:v>-7.2990000000000004</c:v>
                </c:pt>
                <c:pt idx="16">
                  <c:v>-4.9779999999999998</c:v>
                </c:pt>
                <c:pt idx="17">
                  <c:v>-3.645</c:v>
                </c:pt>
                <c:pt idx="18">
                  <c:v>-3.0459999999999998</c:v>
                </c:pt>
                <c:pt idx="19">
                  <c:v>-3.3620000000000001</c:v>
                </c:pt>
                <c:pt idx="20">
                  <c:v>-3.87</c:v>
                </c:pt>
                <c:pt idx="21">
                  <c:v>-3.9169999999999998</c:v>
                </c:pt>
                <c:pt idx="22">
                  <c:v>-3.839</c:v>
                </c:pt>
                <c:pt idx="23">
                  <c:v>-3.87</c:v>
                </c:pt>
                <c:pt idx="24">
                  <c:v>-4.1040000000000001</c:v>
                </c:pt>
                <c:pt idx="25">
                  <c:v>-4.0650000000000004</c:v>
                </c:pt>
                <c:pt idx="26">
                  <c:v>-3.5710000000000002</c:v>
                </c:pt>
                <c:pt idx="27">
                  <c:v>-4.0940000000000003</c:v>
                </c:pt>
                <c:pt idx="28">
                  <c:v>-5.6029999999999998</c:v>
                </c:pt>
                <c:pt idx="29">
                  <c:v>-7.3860000000000001</c:v>
                </c:pt>
                <c:pt idx="30">
                  <c:v>-8.65</c:v>
                </c:pt>
                <c:pt idx="31">
                  <c:v>-9.0129999999999999</c:v>
                </c:pt>
                <c:pt idx="32">
                  <c:v>-10.313000000000001</c:v>
                </c:pt>
                <c:pt idx="33">
                  <c:v>-13.095000000000001</c:v>
                </c:pt>
                <c:pt idx="34">
                  <c:v>-16.041</c:v>
                </c:pt>
                <c:pt idx="35">
                  <c:v>-14.362</c:v>
                </c:pt>
                <c:pt idx="36">
                  <c:v>-14.366</c:v>
                </c:pt>
              </c:numCache>
            </c:numRef>
          </c:val>
          <c:extLst>
            <c:ext xmlns:c16="http://schemas.microsoft.com/office/drawing/2014/chart" uri="{C3380CC4-5D6E-409C-BE32-E72D297353CC}">
              <c16:uniqueId val="{00000004-02CE-4EA3-8C45-F7F2EF9D3F7E}"/>
            </c:ext>
          </c:extLst>
        </c:ser>
        <c:dLbls>
          <c:showLegendKey val="0"/>
          <c:showVal val="0"/>
          <c:showCatName val="0"/>
          <c:showSerName val="0"/>
          <c:showPercent val="0"/>
          <c:showBubbleSize val="0"/>
        </c:dLbls>
        <c:axId val="446686872"/>
        <c:axId val="446687200"/>
        <c:extLst/>
      </c:radarChart>
      <c:catAx>
        <c:axId val="44668687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7200"/>
        <c:crosses val="autoZero"/>
        <c:auto val="1"/>
        <c:lblAlgn val="ctr"/>
        <c:lblOffset val="100"/>
        <c:noMultiLvlLbl val="0"/>
      </c:catAx>
      <c:valAx>
        <c:axId val="446687200"/>
        <c:scaling>
          <c:orientation val="maxMin"/>
        </c:scaling>
        <c:delete val="0"/>
        <c:axPos val="l"/>
        <c:majorGridlines>
          <c:spPr>
            <a:ln w="9525" cap="flat" cmpd="sng" algn="ctr">
              <a:solidFill>
                <a:schemeClr val="tx2">
                  <a:lumMod val="60000"/>
                  <a:lumOff val="4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6872"/>
        <c:crosses val="autoZero"/>
        <c:crossBetween val="between"/>
      </c:valAx>
      <c:spPr>
        <a:noFill/>
        <a:ln>
          <a:noFill/>
        </a:ln>
        <a:effectLst/>
      </c:spPr>
    </c:plotArea>
    <c:legend>
      <c:legendPos val="l"/>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AA1EE-6139-41D7-AB20-D4DF73F00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1549</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Guillermo Martinez Ballesteros</cp:lastModifiedBy>
  <cp:revision>4</cp:revision>
  <cp:lastPrinted>2015-01-14T11:53:00Z</cp:lastPrinted>
  <dcterms:created xsi:type="dcterms:W3CDTF">2017-11-17T08:24:00Z</dcterms:created>
  <dcterms:modified xsi:type="dcterms:W3CDTF">2017-11-17T12:46:00Z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